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07922" w14:textId="77777777" w:rsidR="00EE4620" w:rsidRPr="00EE4620" w:rsidRDefault="00EE4620" w:rsidP="00EE4620">
      <w:pPr>
        <w:spacing w:after="0" w:line="240" w:lineRule="auto"/>
        <w:rPr>
          <w:rFonts w:ascii="Arial" w:eastAsia="Times New Roman" w:hAnsi="Arial" w:cs="Arial"/>
          <w:b/>
          <w:sz w:val="28"/>
          <w:szCs w:val="28"/>
          <w:lang w:eastAsia="en-GB"/>
        </w:rPr>
      </w:pPr>
    </w:p>
    <w:p w14:paraId="18907923" w14:textId="77777777" w:rsidR="00EE4620" w:rsidRPr="00EE4620" w:rsidRDefault="00EE4620" w:rsidP="00EE4620">
      <w:pPr>
        <w:spacing w:after="0" w:line="240" w:lineRule="auto"/>
        <w:rPr>
          <w:rFonts w:ascii="Arial" w:eastAsia="Times New Roman" w:hAnsi="Arial" w:cs="Arial"/>
          <w:b/>
          <w:sz w:val="28"/>
          <w:szCs w:val="28"/>
          <w:lang w:eastAsia="en-GB"/>
        </w:rPr>
      </w:pPr>
      <w:r w:rsidRPr="00EE4620">
        <w:rPr>
          <w:rFonts w:ascii="Arial" w:eastAsia="Times New Roman" w:hAnsi="Arial" w:cs="Arial"/>
          <w:b/>
          <w:sz w:val="28"/>
          <w:szCs w:val="28"/>
          <w:lang w:eastAsia="en-GB"/>
        </w:rPr>
        <w:t xml:space="preserve">LGA Perceptions Survey 2013 </w:t>
      </w:r>
    </w:p>
    <w:p w14:paraId="18907924" w14:textId="77777777" w:rsidR="00EE4620" w:rsidRPr="00EE4620" w:rsidRDefault="00EE4620" w:rsidP="00EE4620">
      <w:pPr>
        <w:spacing w:after="0" w:line="240" w:lineRule="auto"/>
        <w:jc w:val="center"/>
        <w:rPr>
          <w:rFonts w:ascii="Arial" w:eastAsia="Times New Roman" w:hAnsi="Arial" w:cs="Arial"/>
          <w:b/>
          <w:sz w:val="28"/>
          <w:szCs w:val="28"/>
          <w:u w:val="single"/>
          <w:lang w:eastAsia="en-GB"/>
        </w:rPr>
      </w:pPr>
    </w:p>
    <w:p w14:paraId="18907925" w14:textId="77777777" w:rsidR="00EE4620" w:rsidRPr="00EE4620" w:rsidRDefault="00EE4620" w:rsidP="00EE4620">
      <w:pPr>
        <w:spacing w:after="0" w:line="240" w:lineRule="auto"/>
        <w:rPr>
          <w:rFonts w:ascii="Arial" w:eastAsia="Times New Roman" w:hAnsi="Arial" w:cs="Arial"/>
          <w:b/>
          <w:lang w:eastAsia="en-GB"/>
        </w:rPr>
      </w:pPr>
    </w:p>
    <w:p w14:paraId="18907926" w14:textId="77777777" w:rsidR="00EE4620" w:rsidRPr="00EE4620" w:rsidRDefault="00EE4620" w:rsidP="00EE4620">
      <w:pPr>
        <w:spacing w:after="0" w:line="240" w:lineRule="auto"/>
        <w:rPr>
          <w:rFonts w:ascii="Arial" w:eastAsia="Times New Roman" w:hAnsi="Arial" w:cs="Arial"/>
          <w:b/>
          <w:lang w:eastAsia="en-GB"/>
        </w:rPr>
      </w:pPr>
      <w:r w:rsidRPr="00EE4620">
        <w:rPr>
          <w:rFonts w:ascii="Arial" w:eastAsia="Times New Roman" w:hAnsi="Arial" w:cs="Arial"/>
          <w:b/>
          <w:lang w:eastAsia="en-GB"/>
        </w:rPr>
        <w:t>Purpose of report</w:t>
      </w:r>
    </w:p>
    <w:p w14:paraId="18907927" w14:textId="77777777" w:rsidR="00EE4620" w:rsidRPr="00EE4620" w:rsidRDefault="00EE4620" w:rsidP="00EE4620">
      <w:pPr>
        <w:spacing w:after="0" w:line="240" w:lineRule="auto"/>
        <w:rPr>
          <w:rFonts w:ascii="Arial" w:eastAsia="Times New Roman" w:hAnsi="Arial" w:cs="Arial"/>
          <w:b/>
          <w:lang w:eastAsia="en-GB"/>
        </w:rPr>
      </w:pPr>
    </w:p>
    <w:p w14:paraId="18907928" w14:textId="77777777" w:rsidR="00EE4620" w:rsidRPr="00EE4620" w:rsidRDefault="00EE4620" w:rsidP="00EE4620">
      <w:pPr>
        <w:spacing w:after="0" w:line="240" w:lineRule="auto"/>
        <w:rPr>
          <w:rFonts w:ascii="Arial" w:eastAsia="Times New Roman" w:hAnsi="Arial" w:cs="Arial"/>
          <w:lang w:eastAsia="en-GB"/>
        </w:rPr>
      </w:pPr>
      <w:proofErr w:type="gramStart"/>
      <w:r w:rsidRPr="00EE4620">
        <w:rPr>
          <w:rFonts w:ascii="Arial" w:eastAsia="Times New Roman" w:hAnsi="Arial" w:cs="Arial"/>
          <w:lang w:eastAsia="en-GB"/>
        </w:rPr>
        <w:t>For decision and noting.</w:t>
      </w:r>
      <w:proofErr w:type="gramEnd"/>
    </w:p>
    <w:p w14:paraId="18907929" w14:textId="77777777" w:rsidR="00EE4620" w:rsidRPr="00EE4620" w:rsidRDefault="00EE4620" w:rsidP="00EE4620">
      <w:pPr>
        <w:spacing w:after="0" w:line="240" w:lineRule="auto"/>
        <w:rPr>
          <w:rFonts w:ascii="Arial" w:eastAsia="Times New Roman" w:hAnsi="Arial" w:cs="Arial"/>
          <w:b/>
          <w:lang w:eastAsia="en-GB"/>
        </w:rPr>
      </w:pPr>
    </w:p>
    <w:p w14:paraId="1890792A" w14:textId="77777777" w:rsidR="00EE4620" w:rsidRPr="00EE4620" w:rsidRDefault="00EE4620" w:rsidP="00EE4620">
      <w:pPr>
        <w:spacing w:after="0" w:line="240" w:lineRule="auto"/>
        <w:rPr>
          <w:rFonts w:ascii="Arial" w:eastAsia="Times New Roman" w:hAnsi="Arial" w:cs="Arial"/>
          <w:b/>
          <w:lang w:eastAsia="en-GB"/>
        </w:rPr>
      </w:pPr>
    </w:p>
    <w:p w14:paraId="1890792B" w14:textId="77777777" w:rsidR="00EE4620" w:rsidRPr="00EE4620" w:rsidRDefault="00EE4620" w:rsidP="00EE4620">
      <w:pPr>
        <w:spacing w:after="0" w:line="240" w:lineRule="auto"/>
        <w:rPr>
          <w:rFonts w:ascii="Arial" w:eastAsia="Times New Roman" w:hAnsi="Arial" w:cs="Arial"/>
          <w:b/>
          <w:lang w:eastAsia="en-GB"/>
        </w:rPr>
      </w:pPr>
      <w:r w:rsidRPr="00EE4620">
        <w:rPr>
          <w:rFonts w:ascii="Arial" w:eastAsia="Times New Roman" w:hAnsi="Arial" w:cs="Arial"/>
          <w:b/>
          <w:lang w:eastAsia="en-GB"/>
        </w:rPr>
        <w:t>Summary</w:t>
      </w:r>
    </w:p>
    <w:p w14:paraId="1890792C" w14:textId="77777777" w:rsidR="00EE4620" w:rsidRPr="00EE4620" w:rsidRDefault="00EE4620" w:rsidP="00EE4620">
      <w:pPr>
        <w:spacing w:after="0" w:line="240" w:lineRule="auto"/>
        <w:rPr>
          <w:rFonts w:ascii="Arial" w:eastAsia="Times New Roman" w:hAnsi="Arial" w:cs="Arial"/>
          <w:b/>
          <w:lang w:eastAsia="en-GB"/>
        </w:rPr>
      </w:pPr>
    </w:p>
    <w:p w14:paraId="1890792D" w14:textId="77777777" w:rsidR="00EE4620" w:rsidRPr="00EE4620" w:rsidRDefault="00EE4620" w:rsidP="00EE4620">
      <w:pPr>
        <w:spacing w:after="0" w:line="240" w:lineRule="auto"/>
        <w:rPr>
          <w:rFonts w:ascii="Arial" w:eastAsia="Times New Roman" w:hAnsi="Arial" w:cs="Arial"/>
          <w:lang w:eastAsia="en-GB"/>
        </w:rPr>
      </w:pPr>
      <w:r w:rsidRPr="00EE4620">
        <w:rPr>
          <w:rFonts w:ascii="Arial" w:eastAsia="Times New Roman" w:hAnsi="Arial" w:cs="Arial"/>
          <w:lang w:eastAsia="en-GB"/>
        </w:rPr>
        <w:t>This report sets out the results of the 2013 perceptions survey and asks the LGA Leadership Board to agree the headline principles of the action plan (</w:t>
      </w:r>
      <w:r w:rsidRPr="00EE4620">
        <w:rPr>
          <w:rFonts w:ascii="Arial" w:eastAsia="Times New Roman" w:hAnsi="Arial" w:cs="Arial"/>
          <w:b/>
          <w:u w:val="single"/>
          <w:lang w:eastAsia="en-GB"/>
        </w:rPr>
        <w:t>Appendix A</w:t>
      </w:r>
      <w:r w:rsidRPr="00EE4620">
        <w:rPr>
          <w:rFonts w:ascii="Arial" w:eastAsia="Times New Roman" w:hAnsi="Arial" w:cs="Arial"/>
          <w:lang w:eastAsia="en-GB"/>
        </w:rPr>
        <w:t>).</w:t>
      </w:r>
    </w:p>
    <w:p w14:paraId="1890792E" w14:textId="77777777" w:rsidR="00EE4620" w:rsidRPr="00EE4620" w:rsidRDefault="00EE4620" w:rsidP="00EE4620">
      <w:pPr>
        <w:spacing w:after="0" w:line="240" w:lineRule="auto"/>
        <w:rPr>
          <w:rFonts w:ascii="Arial" w:eastAsia="Times New Roman" w:hAnsi="Arial" w:cs="Arial"/>
          <w:lang w:eastAsia="en-GB"/>
        </w:rPr>
      </w:pPr>
    </w:p>
    <w:p w14:paraId="1890792F" w14:textId="77777777" w:rsidR="00EE4620" w:rsidRPr="00EE4620" w:rsidRDefault="00EE4620" w:rsidP="00EE4620">
      <w:pPr>
        <w:spacing w:after="0" w:line="240" w:lineRule="auto"/>
        <w:rPr>
          <w:rFonts w:ascii="Arial" w:eastAsia="Times New Roman" w:hAnsi="Arial" w:cs="Arial"/>
          <w:b/>
          <w:u w:val="single"/>
          <w:lang w:eastAsia="en-GB"/>
        </w:rPr>
      </w:pPr>
    </w:p>
    <w:p w14:paraId="18907930" w14:textId="77777777" w:rsidR="00EE4620" w:rsidRPr="00EE4620" w:rsidRDefault="00EE4620" w:rsidP="00EE4620">
      <w:pPr>
        <w:spacing w:after="0" w:line="240" w:lineRule="auto"/>
        <w:rPr>
          <w:rFonts w:ascii="Arial" w:eastAsia="Times New Roman" w:hAnsi="Arial" w:cs="Arial"/>
          <w:b/>
          <w:u w:val="single"/>
          <w:lang w:eastAsia="en-GB"/>
        </w:rPr>
      </w:pPr>
    </w:p>
    <w:tbl>
      <w:tblPr>
        <w:tblW w:w="9157"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EE4620" w:rsidRPr="00EE4620" w14:paraId="1890793A" w14:textId="77777777" w:rsidTr="00E55451">
        <w:tc>
          <w:tcPr>
            <w:tcW w:w="9157" w:type="dxa"/>
          </w:tcPr>
          <w:p w14:paraId="18907931" w14:textId="77777777" w:rsidR="00EE4620" w:rsidRPr="00EE4620" w:rsidRDefault="00EE4620" w:rsidP="00EE4620">
            <w:pPr>
              <w:spacing w:after="0" w:line="240" w:lineRule="auto"/>
              <w:rPr>
                <w:rFonts w:ascii="Arial" w:eastAsia="Times New Roman" w:hAnsi="Arial" w:cs="Arial"/>
                <w:lang w:eastAsia="en-GB"/>
              </w:rPr>
            </w:pPr>
          </w:p>
          <w:p w14:paraId="18907932" w14:textId="77777777" w:rsidR="00EE4620" w:rsidRPr="00EE4620" w:rsidRDefault="00EE4620" w:rsidP="00EE4620">
            <w:pPr>
              <w:spacing w:after="0" w:line="240" w:lineRule="auto"/>
              <w:rPr>
                <w:rFonts w:ascii="Arial" w:eastAsia="Times New Roman" w:hAnsi="Arial" w:cs="Arial"/>
                <w:b/>
                <w:lang w:eastAsia="en-GB"/>
              </w:rPr>
            </w:pPr>
            <w:r w:rsidRPr="00EE4620">
              <w:rPr>
                <w:rFonts w:ascii="Arial" w:eastAsia="Times New Roman" w:hAnsi="Arial" w:cs="Arial"/>
                <w:b/>
                <w:lang w:eastAsia="en-GB"/>
              </w:rPr>
              <w:t>Recommendation</w:t>
            </w:r>
          </w:p>
          <w:p w14:paraId="18907933" w14:textId="77777777" w:rsidR="00EE4620" w:rsidRPr="00EE4620" w:rsidRDefault="00EE4620" w:rsidP="00EE4620">
            <w:pPr>
              <w:spacing w:after="0" w:line="240" w:lineRule="auto"/>
              <w:rPr>
                <w:rFonts w:ascii="Arial" w:eastAsia="Times New Roman" w:hAnsi="Arial" w:cs="Arial"/>
                <w:b/>
                <w:lang w:eastAsia="en-GB"/>
              </w:rPr>
            </w:pPr>
          </w:p>
          <w:p w14:paraId="18907934" w14:textId="77777777" w:rsidR="00EE4620" w:rsidRPr="00EE4620" w:rsidRDefault="00EE4620" w:rsidP="00EE4620">
            <w:pPr>
              <w:spacing w:after="0" w:line="240" w:lineRule="auto"/>
              <w:rPr>
                <w:rFonts w:ascii="Arial" w:eastAsia="Times New Roman" w:hAnsi="Arial" w:cs="Arial"/>
                <w:lang w:eastAsia="en-GB"/>
              </w:rPr>
            </w:pPr>
            <w:r w:rsidRPr="00EE4620">
              <w:rPr>
                <w:rFonts w:ascii="Arial" w:eastAsia="Times New Roman" w:hAnsi="Arial" w:cs="Arial"/>
                <w:lang w:eastAsia="en-GB"/>
              </w:rPr>
              <w:t>That the Leadership Board notes the results of the 2013 perceptions survey and agrees the headline principles of the revised action plan for 2014.</w:t>
            </w:r>
          </w:p>
          <w:p w14:paraId="18907935" w14:textId="77777777" w:rsidR="00EE4620" w:rsidRPr="00EE4620" w:rsidRDefault="00EE4620" w:rsidP="00EE4620">
            <w:pPr>
              <w:spacing w:after="0" w:line="240" w:lineRule="auto"/>
              <w:rPr>
                <w:rFonts w:ascii="Arial" w:eastAsia="Times New Roman" w:hAnsi="Arial" w:cs="Arial"/>
                <w:lang w:eastAsia="en-GB"/>
              </w:rPr>
            </w:pPr>
          </w:p>
          <w:p w14:paraId="18907936" w14:textId="77777777" w:rsidR="00EE4620" w:rsidRPr="00EE4620" w:rsidRDefault="00EE4620" w:rsidP="00EE4620">
            <w:pPr>
              <w:spacing w:after="0" w:line="240" w:lineRule="auto"/>
              <w:rPr>
                <w:rFonts w:ascii="Arial" w:eastAsia="Times New Roman" w:hAnsi="Arial" w:cs="Arial"/>
                <w:b/>
                <w:lang w:eastAsia="en-GB"/>
              </w:rPr>
            </w:pPr>
            <w:r w:rsidRPr="00EE4620">
              <w:rPr>
                <w:rFonts w:ascii="Arial" w:eastAsia="Times New Roman" w:hAnsi="Arial" w:cs="Arial"/>
                <w:b/>
                <w:lang w:eastAsia="en-GB"/>
              </w:rPr>
              <w:t>Action</w:t>
            </w:r>
          </w:p>
          <w:p w14:paraId="18907937" w14:textId="77777777" w:rsidR="00EE4620" w:rsidRPr="00EE4620" w:rsidRDefault="00EE4620" w:rsidP="00EE4620">
            <w:pPr>
              <w:spacing w:after="0" w:line="240" w:lineRule="auto"/>
              <w:rPr>
                <w:rFonts w:ascii="Arial" w:eastAsia="Times New Roman" w:hAnsi="Arial" w:cs="Arial"/>
                <w:b/>
                <w:lang w:eastAsia="en-GB"/>
              </w:rPr>
            </w:pPr>
          </w:p>
          <w:p w14:paraId="18907938" w14:textId="77777777" w:rsidR="00EE4620" w:rsidRPr="00EE4620" w:rsidRDefault="00EE4620" w:rsidP="00EE4620">
            <w:pPr>
              <w:spacing w:after="0" w:line="240" w:lineRule="auto"/>
              <w:rPr>
                <w:rFonts w:ascii="Arial" w:eastAsia="Times New Roman" w:hAnsi="Arial" w:cs="Arial"/>
                <w:lang w:eastAsia="en-GB"/>
              </w:rPr>
            </w:pPr>
            <w:r w:rsidRPr="00EE4620">
              <w:rPr>
                <w:rFonts w:ascii="Arial" w:eastAsia="Times New Roman" w:hAnsi="Arial" w:cs="Arial"/>
                <w:lang w:eastAsia="en-GB"/>
              </w:rPr>
              <w:t>As directed by Members.</w:t>
            </w:r>
          </w:p>
          <w:p w14:paraId="18907939" w14:textId="77777777" w:rsidR="00EE4620" w:rsidRPr="00EE4620" w:rsidRDefault="00EE4620" w:rsidP="00EE4620">
            <w:pPr>
              <w:spacing w:after="0" w:line="240" w:lineRule="auto"/>
              <w:rPr>
                <w:rFonts w:ascii="Arial" w:eastAsia="Times New Roman" w:hAnsi="Arial" w:cs="Arial"/>
                <w:lang w:eastAsia="en-GB"/>
              </w:rPr>
            </w:pPr>
          </w:p>
        </w:tc>
      </w:tr>
    </w:tbl>
    <w:p w14:paraId="1890793B" w14:textId="77777777" w:rsidR="00EE4620" w:rsidRPr="00EE4620" w:rsidRDefault="00EE4620" w:rsidP="00EE4620">
      <w:pPr>
        <w:spacing w:after="0" w:line="240" w:lineRule="auto"/>
        <w:rPr>
          <w:rFonts w:ascii="Arial" w:eastAsia="Times New Roman" w:hAnsi="Arial" w:cs="Arial"/>
          <w:lang w:eastAsia="en-GB"/>
        </w:rPr>
      </w:pPr>
    </w:p>
    <w:p w14:paraId="1890793C" w14:textId="77777777" w:rsidR="00EE4620" w:rsidRPr="00EE4620" w:rsidRDefault="00EE4620" w:rsidP="00EE4620">
      <w:pPr>
        <w:spacing w:after="0" w:line="240" w:lineRule="auto"/>
        <w:rPr>
          <w:rFonts w:ascii="Arial" w:eastAsia="Times New Roman" w:hAnsi="Arial" w:cs="Arial"/>
          <w:lang w:eastAsia="en-GB"/>
        </w:rPr>
      </w:pPr>
    </w:p>
    <w:p w14:paraId="1890793D" w14:textId="77777777" w:rsidR="00EE4620" w:rsidRPr="00EE4620" w:rsidRDefault="00EE4620" w:rsidP="00EE4620">
      <w:pPr>
        <w:spacing w:after="0" w:line="240" w:lineRule="auto"/>
        <w:rPr>
          <w:rFonts w:ascii="Arial" w:eastAsia="Times New Roman" w:hAnsi="Arial" w:cs="Arial"/>
          <w:lang w:eastAsia="en-GB"/>
        </w:rPr>
      </w:pPr>
    </w:p>
    <w:p w14:paraId="1890793E" w14:textId="77777777" w:rsidR="00EE4620" w:rsidRPr="00EE4620" w:rsidRDefault="00EE4620" w:rsidP="00EE4620">
      <w:pPr>
        <w:spacing w:after="0" w:line="240" w:lineRule="auto"/>
        <w:rPr>
          <w:rFonts w:ascii="Arial" w:eastAsia="Times New Roman" w:hAnsi="Arial" w:cs="Arial"/>
          <w:lang w:eastAsia="en-GB"/>
        </w:rPr>
      </w:pPr>
    </w:p>
    <w:p w14:paraId="1890793F" w14:textId="77777777" w:rsidR="00EE4620" w:rsidRPr="00EE4620" w:rsidRDefault="00EE4620" w:rsidP="00EE4620">
      <w:pPr>
        <w:spacing w:after="0" w:line="240" w:lineRule="auto"/>
        <w:rPr>
          <w:rFonts w:ascii="Arial" w:eastAsia="Times New Roman" w:hAnsi="Arial" w:cs="Arial"/>
          <w:lang w:eastAsia="en-GB"/>
        </w:rPr>
      </w:pPr>
    </w:p>
    <w:p w14:paraId="18907940" w14:textId="77777777" w:rsidR="00EE4620" w:rsidRPr="00EE4620" w:rsidRDefault="00EE4620" w:rsidP="00EE4620">
      <w:pPr>
        <w:spacing w:after="0" w:line="240" w:lineRule="auto"/>
        <w:rPr>
          <w:rFonts w:ascii="Arial" w:eastAsia="Times New Roman" w:hAnsi="Arial" w:cs="Arial"/>
          <w:lang w:eastAsia="en-GB"/>
        </w:rPr>
      </w:pPr>
    </w:p>
    <w:p w14:paraId="18907941" w14:textId="77777777" w:rsidR="00EE4620" w:rsidRPr="00EE4620" w:rsidRDefault="00EE4620" w:rsidP="00EE4620">
      <w:pPr>
        <w:spacing w:after="0" w:line="240" w:lineRule="auto"/>
        <w:rPr>
          <w:rFonts w:ascii="Arial" w:eastAsia="Times New Roman" w:hAnsi="Arial" w:cs="Arial"/>
          <w:lang w:eastAsia="en-GB"/>
        </w:rPr>
      </w:pPr>
    </w:p>
    <w:tbl>
      <w:tblPr>
        <w:tblW w:w="0" w:type="auto"/>
        <w:tblLook w:val="01E0" w:firstRow="1" w:lastRow="1" w:firstColumn="1" w:lastColumn="1" w:noHBand="0" w:noVBand="0"/>
      </w:tblPr>
      <w:tblGrid>
        <w:gridCol w:w="2575"/>
        <w:gridCol w:w="5953"/>
      </w:tblGrid>
      <w:tr w:rsidR="00EE4620" w:rsidRPr="00EE4620" w14:paraId="18907944" w14:textId="77777777" w:rsidTr="00E55451">
        <w:tc>
          <w:tcPr>
            <w:tcW w:w="2575" w:type="dxa"/>
          </w:tcPr>
          <w:p w14:paraId="18907942" w14:textId="77777777" w:rsidR="00EE4620" w:rsidRPr="00EE4620" w:rsidRDefault="00EE4620" w:rsidP="00EE4620">
            <w:pPr>
              <w:spacing w:before="60" w:after="60" w:line="240" w:lineRule="auto"/>
              <w:rPr>
                <w:rFonts w:ascii="Arial" w:eastAsia="Times New Roman" w:hAnsi="Arial" w:cs="Arial"/>
                <w:b/>
                <w:lang w:eastAsia="en-GB"/>
              </w:rPr>
            </w:pPr>
            <w:r w:rsidRPr="00EE4620">
              <w:rPr>
                <w:rFonts w:ascii="Arial" w:eastAsia="Times New Roman" w:hAnsi="Arial" w:cs="Arial"/>
                <w:b/>
                <w:lang w:eastAsia="en-GB"/>
              </w:rPr>
              <w:t xml:space="preserve">Contact officer:  </w:t>
            </w:r>
          </w:p>
        </w:tc>
        <w:tc>
          <w:tcPr>
            <w:tcW w:w="5953" w:type="dxa"/>
          </w:tcPr>
          <w:p w14:paraId="18907943" w14:textId="77777777" w:rsidR="00EE4620" w:rsidRPr="00EE4620" w:rsidRDefault="00EE4620" w:rsidP="00EE4620">
            <w:pPr>
              <w:spacing w:before="60" w:after="60" w:line="240" w:lineRule="auto"/>
              <w:rPr>
                <w:rFonts w:ascii="Arial" w:eastAsia="Times New Roman" w:hAnsi="Arial" w:cs="Arial"/>
                <w:lang w:eastAsia="en-GB"/>
              </w:rPr>
            </w:pPr>
            <w:r w:rsidRPr="00EE4620">
              <w:rPr>
                <w:rFonts w:ascii="Arial" w:eastAsia="Times New Roman" w:hAnsi="Arial" w:cs="Arial"/>
                <w:lang w:eastAsia="en-GB"/>
              </w:rPr>
              <w:t>David Holdstock</w:t>
            </w:r>
          </w:p>
        </w:tc>
      </w:tr>
      <w:tr w:rsidR="00EE4620" w:rsidRPr="00EE4620" w14:paraId="18907947" w14:textId="77777777" w:rsidTr="00E55451">
        <w:tc>
          <w:tcPr>
            <w:tcW w:w="2575" w:type="dxa"/>
          </w:tcPr>
          <w:p w14:paraId="18907945" w14:textId="77777777" w:rsidR="00EE4620" w:rsidRPr="00EE4620" w:rsidRDefault="00EE4620" w:rsidP="00EE4620">
            <w:pPr>
              <w:spacing w:before="60" w:after="60" w:line="240" w:lineRule="auto"/>
              <w:rPr>
                <w:rFonts w:ascii="Arial" w:eastAsia="Times New Roman" w:hAnsi="Arial" w:cs="Arial"/>
                <w:b/>
                <w:lang w:eastAsia="en-GB"/>
              </w:rPr>
            </w:pPr>
            <w:r w:rsidRPr="00EE4620">
              <w:rPr>
                <w:rFonts w:ascii="Arial" w:eastAsia="Times New Roman" w:hAnsi="Arial" w:cs="Arial"/>
                <w:b/>
                <w:lang w:eastAsia="en-GB"/>
              </w:rPr>
              <w:t>Position:</w:t>
            </w:r>
          </w:p>
        </w:tc>
        <w:tc>
          <w:tcPr>
            <w:tcW w:w="5953" w:type="dxa"/>
          </w:tcPr>
          <w:p w14:paraId="18907946" w14:textId="77777777" w:rsidR="00EE4620" w:rsidRPr="00EE4620" w:rsidRDefault="00EE4620" w:rsidP="00EE4620">
            <w:pPr>
              <w:spacing w:before="60" w:after="60" w:line="240" w:lineRule="auto"/>
              <w:rPr>
                <w:rFonts w:ascii="Arial" w:eastAsia="Times New Roman" w:hAnsi="Arial" w:cs="Arial"/>
                <w:lang w:eastAsia="en-GB"/>
              </w:rPr>
            </w:pPr>
            <w:r w:rsidRPr="00EE4620">
              <w:rPr>
                <w:rFonts w:ascii="Arial" w:eastAsia="Times New Roman" w:hAnsi="Arial" w:cs="Arial"/>
                <w:lang w:eastAsia="en-GB"/>
              </w:rPr>
              <w:t>Director of Communications</w:t>
            </w:r>
          </w:p>
        </w:tc>
      </w:tr>
      <w:tr w:rsidR="00EE4620" w:rsidRPr="00EE4620" w14:paraId="1890794A" w14:textId="77777777" w:rsidTr="00E55451">
        <w:tc>
          <w:tcPr>
            <w:tcW w:w="2575" w:type="dxa"/>
          </w:tcPr>
          <w:p w14:paraId="18907948" w14:textId="77777777" w:rsidR="00EE4620" w:rsidRPr="00EE4620" w:rsidRDefault="00EE4620" w:rsidP="00EE4620">
            <w:pPr>
              <w:spacing w:before="60" w:after="60" w:line="240" w:lineRule="auto"/>
              <w:rPr>
                <w:rFonts w:ascii="Arial" w:eastAsia="Times New Roman" w:hAnsi="Arial" w:cs="Arial"/>
                <w:b/>
                <w:lang w:eastAsia="en-GB"/>
              </w:rPr>
            </w:pPr>
            <w:r w:rsidRPr="00EE4620">
              <w:rPr>
                <w:rFonts w:ascii="Arial" w:eastAsia="Times New Roman" w:hAnsi="Arial" w:cs="Arial"/>
                <w:b/>
                <w:lang w:eastAsia="en-GB"/>
              </w:rPr>
              <w:t>Phone no:</w:t>
            </w:r>
          </w:p>
        </w:tc>
        <w:tc>
          <w:tcPr>
            <w:tcW w:w="5953" w:type="dxa"/>
          </w:tcPr>
          <w:p w14:paraId="18907949" w14:textId="77777777" w:rsidR="00EE4620" w:rsidRPr="00EE4620" w:rsidRDefault="00EE4620" w:rsidP="00EE4620">
            <w:pPr>
              <w:spacing w:before="60" w:after="60" w:line="240" w:lineRule="auto"/>
              <w:rPr>
                <w:rFonts w:ascii="Arial" w:eastAsia="Times New Roman" w:hAnsi="Arial" w:cs="Arial"/>
                <w:lang w:eastAsia="en-GB"/>
              </w:rPr>
            </w:pPr>
            <w:r w:rsidRPr="00EE4620">
              <w:rPr>
                <w:rFonts w:ascii="Arial" w:eastAsia="Times New Roman" w:hAnsi="Arial" w:cs="Arial"/>
                <w:lang w:eastAsia="en-GB"/>
              </w:rPr>
              <w:t>020 7664 3056</w:t>
            </w:r>
          </w:p>
        </w:tc>
      </w:tr>
      <w:tr w:rsidR="00EE4620" w:rsidRPr="00EE4620" w14:paraId="1890794D" w14:textId="77777777" w:rsidTr="00E55451">
        <w:tc>
          <w:tcPr>
            <w:tcW w:w="2575" w:type="dxa"/>
          </w:tcPr>
          <w:p w14:paraId="1890794B" w14:textId="77777777" w:rsidR="00EE4620" w:rsidRPr="00EE4620" w:rsidRDefault="00EE4620" w:rsidP="00EE4620">
            <w:pPr>
              <w:spacing w:before="60" w:after="60" w:line="240" w:lineRule="auto"/>
              <w:rPr>
                <w:rFonts w:ascii="Arial" w:eastAsia="Times New Roman" w:hAnsi="Arial" w:cs="Arial"/>
                <w:b/>
                <w:lang w:eastAsia="en-GB"/>
              </w:rPr>
            </w:pPr>
            <w:r w:rsidRPr="00EE4620">
              <w:rPr>
                <w:rFonts w:ascii="Arial" w:eastAsia="Times New Roman" w:hAnsi="Arial" w:cs="Arial"/>
                <w:b/>
                <w:lang w:eastAsia="en-GB"/>
              </w:rPr>
              <w:t>E-mail:</w:t>
            </w:r>
          </w:p>
        </w:tc>
        <w:tc>
          <w:tcPr>
            <w:tcW w:w="5953" w:type="dxa"/>
          </w:tcPr>
          <w:p w14:paraId="1890794C" w14:textId="77777777" w:rsidR="00EE4620" w:rsidRPr="00EE4620" w:rsidRDefault="00085821" w:rsidP="00EE4620">
            <w:pPr>
              <w:spacing w:before="60" w:after="60" w:line="240" w:lineRule="auto"/>
              <w:rPr>
                <w:rFonts w:ascii="Arial" w:eastAsia="Times New Roman" w:hAnsi="Arial" w:cs="Arial"/>
                <w:lang w:eastAsia="en-GB"/>
              </w:rPr>
            </w:pPr>
            <w:hyperlink r:id="rId9" w:history="1">
              <w:r w:rsidR="00EE4620" w:rsidRPr="00EE4620">
                <w:rPr>
                  <w:rFonts w:ascii="Arial" w:eastAsia="Times New Roman" w:hAnsi="Arial" w:cs="Arial"/>
                  <w:color w:val="0000FF" w:themeColor="hyperlink"/>
                  <w:u w:val="single"/>
                  <w:lang w:eastAsia="en-GB"/>
                </w:rPr>
                <w:t>David.Holdstock@local.gov.uk</w:t>
              </w:r>
            </w:hyperlink>
            <w:r w:rsidR="00EE4620" w:rsidRPr="00EE4620">
              <w:rPr>
                <w:rFonts w:ascii="Arial" w:eastAsia="Times New Roman" w:hAnsi="Arial" w:cs="Arial"/>
                <w:lang w:eastAsia="en-GB"/>
              </w:rPr>
              <w:t xml:space="preserve"> </w:t>
            </w:r>
          </w:p>
        </w:tc>
      </w:tr>
    </w:tbl>
    <w:p w14:paraId="1890794E" w14:textId="77777777" w:rsidR="00EE4620" w:rsidRPr="00EE4620" w:rsidRDefault="00EE4620" w:rsidP="00EE4620">
      <w:pPr>
        <w:spacing w:after="0" w:line="240" w:lineRule="auto"/>
        <w:jc w:val="center"/>
        <w:rPr>
          <w:rFonts w:ascii="Arial" w:eastAsia="Times New Roman" w:hAnsi="Arial" w:cs="Arial"/>
          <w:b/>
          <w:u w:val="single"/>
          <w:lang w:eastAsia="en-GB"/>
        </w:rPr>
      </w:pPr>
    </w:p>
    <w:p w14:paraId="1890794F" w14:textId="77777777" w:rsidR="00EE4620" w:rsidRPr="00EE4620" w:rsidRDefault="00EE4620" w:rsidP="00EE4620">
      <w:pPr>
        <w:spacing w:after="0" w:line="240" w:lineRule="auto"/>
        <w:rPr>
          <w:rFonts w:ascii="Arial" w:eastAsia="Times New Roman" w:hAnsi="Arial" w:cs="Arial"/>
          <w:b/>
          <w:lang w:eastAsia="en-GB"/>
        </w:rPr>
      </w:pPr>
    </w:p>
    <w:p w14:paraId="18907950" w14:textId="77777777" w:rsidR="00EE4620" w:rsidRPr="00EE4620" w:rsidRDefault="00EE4620" w:rsidP="00EE4620">
      <w:pPr>
        <w:spacing w:after="0" w:line="240" w:lineRule="auto"/>
        <w:rPr>
          <w:rFonts w:ascii="Arial" w:eastAsia="Times New Roman" w:hAnsi="Arial" w:cs="Arial"/>
          <w:b/>
          <w:lang w:eastAsia="en-GB"/>
        </w:rPr>
      </w:pPr>
    </w:p>
    <w:p w14:paraId="18907951" w14:textId="77777777" w:rsidR="00EE4620" w:rsidRPr="00EE4620" w:rsidRDefault="00EE4620" w:rsidP="00EE4620">
      <w:pPr>
        <w:spacing w:after="0" w:line="240" w:lineRule="auto"/>
        <w:rPr>
          <w:rFonts w:ascii="Arial" w:eastAsia="Times New Roman" w:hAnsi="Arial" w:cs="Arial"/>
          <w:b/>
          <w:lang w:eastAsia="en-GB"/>
        </w:rPr>
      </w:pPr>
    </w:p>
    <w:p w14:paraId="18907952" w14:textId="77777777" w:rsidR="00EE4620" w:rsidRPr="00EE4620" w:rsidRDefault="00EE4620" w:rsidP="00EE4620">
      <w:pPr>
        <w:spacing w:after="0" w:line="240" w:lineRule="auto"/>
        <w:rPr>
          <w:rFonts w:ascii="Arial" w:eastAsia="Times New Roman" w:hAnsi="Arial" w:cs="Arial"/>
          <w:b/>
          <w:sz w:val="28"/>
          <w:szCs w:val="28"/>
          <w:lang w:eastAsia="en-GB"/>
        </w:rPr>
      </w:pPr>
      <w:r w:rsidRPr="00EE4620">
        <w:rPr>
          <w:rFonts w:ascii="Arial" w:eastAsia="Times New Roman" w:hAnsi="Arial" w:cs="Arial"/>
          <w:b/>
          <w:sz w:val="28"/>
          <w:szCs w:val="28"/>
          <w:lang w:eastAsia="en-GB"/>
        </w:rPr>
        <w:br w:type="page"/>
      </w:r>
    </w:p>
    <w:p w14:paraId="18907953" w14:textId="77777777" w:rsidR="00EE4620" w:rsidRPr="00EE4620" w:rsidRDefault="00EE4620" w:rsidP="00EE4620">
      <w:pPr>
        <w:spacing w:after="0" w:line="240" w:lineRule="auto"/>
        <w:rPr>
          <w:rFonts w:ascii="Arial" w:eastAsia="Times New Roman" w:hAnsi="Arial" w:cs="Arial"/>
          <w:b/>
          <w:sz w:val="28"/>
          <w:szCs w:val="28"/>
          <w:lang w:eastAsia="en-GB"/>
        </w:rPr>
      </w:pPr>
      <w:r w:rsidRPr="00EE4620">
        <w:rPr>
          <w:rFonts w:ascii="Arial" w:eastAsia="Times New Roman" w:hAnsi="Arial" w:cs="Arial"/>
          <w:b/>
          <w:sz w:val="28"/>
          <w:szCs w:val="28"/>
          <w:lang w:eastAsia="en-GB"/>
        </w:rPr>
        <w:lastRenderedPageBreak/>
        <w:t xml:space="preserve">LGA Perceptions Survey 2013 </w:t>
      </w:r>
    </w:p>
    <w:p w14:paraId="18907954" w14:textId="77777777" w:rsidR="00EE4620" w:rsidRPr="00EE4620" w:rsidRDefault="00EE4620" w:rsidP="00EE4620">
      <w:pPr>
        <w:spacing w:after="0" w:line="240" w:lineRule="auto"/>
        <w:rPr>
          <w:rFonts w:ascii="Arial" w:eastAsia="Times New Roman" w:hAnsi="Arial" w:cs="Times New Roman"/>
          <w:b/>
          <w:lang w:eastAsia="en-GB"/>
        </w:rPr>
      </w:pPr>
    </w:p>
    <w:p w14:paraId="18907955" w14:textId="77777777" w:rsidR="00EE4620" w:rsidRPr="00EE4620" w:rsidRDefault="00EE4620" w:rsidP="00EE4620">
      <w:pPr>
        <w:spacing w:after="0" w:line="240" w:lineRule="auto"/>
        <w:rPr>
          <w:rFonts w:ascii="Arial" w:eastAsia="Times New Roman" w:hAnsi="Arial" w:cs="Times New Roman"/>
          <w:b/>
          <w:lang w:eastAsia="en-GB"/>
        </w:rPr>
      </w:pPr>
      <w:r w:rsidRPr="00EE4620">
        <w:rPr>
          <w:rFonts w:ascii="Arial" w:eastAsia="Times New Roman" w:hAnsi="Arial" w:cs="Times New Roman"/>
          <w:b/>
          <w:lang w:eastAsia="en-GB"/>
        </w:rPr>
        <w:t>Introduction</w:t>
      </w:r>
    </w:p>
    <w:p w14:paraId="18907956" w14:textId="77777777" w:rsidR="00EE4620" w:rsidRPr="00EE4620" w:rsidRDefault="00EE4620" w:rsidP="00EE4620">
      <w:pPr>
        <w:spacing w:after="0" w:line="240" w:lineRule="auto"/>
        <w:rPr>
          <w:rFonts w:ascii="Arial" w:eastAsia="Times New Roman" w:hAnsi="Arial" w:cs="Times New Roman"/>
          <w:lang w:eastAsia="en-GB"/>
        </w:rPr>
      </w:pPr>
    </w:p>
    <w:p w14:paraId="18907957" w14:textId="77777777" w:rsidR="00EE4620" w:rsidRPr="00EE4620" w:rsidRDefault="00EE4620" w:rsidP="00EE4620">
      <w:pPr>
        <w:numPr>
          <w:ilvl w:val="0"/>
          <w:numId w:val="3"/>
        </w:numPr>
        <w:spacing w:before="120" w:after="360" w:line="240" w:lineRule="auto"/>
        <w:ind w:left="567" w:hanging="567"/>
        <w:contextualSpacing/>
        <w:rPr>
          <w:rFonts w:ascii="Arial" w:eastAsia="Arial" w:hAnsi="Arial" w:cs="Times New Roman"/>
          <w:b/>
        </w:rPr>
      </w:pPr>
      <w:r w:rsidRPr="00EE4620">
        <w:rPr>
          <w:rFonts w:ascii="Arial" w:eastAsia="Arial" w:hAnsi="Arial" w:cs="Times New Roman"/>
        </w:rPr>
        <w:t xml:space="preserve">This is the second year we have undertaken a perceptions survey of our membership.  This comprehensive, cross-cutting research provides us with a benchmark to inform future work and give us a good understanding of the current </w:t>
      </w:r>
      <w:r w:rsidRPr="00EE4620">
        <w:rPr>
          <w:rFonts w:ascii="Arial" w:eastAsia="Arial" w:hAnsi="Arial" w:cs="Arial"/>
        </w:rPr>
        <w:t>views</w:t>
      </w:r>
      <w:r w:rsidRPr="00EE4620">
        <w:rPr>
          <w:rFonts w:ascii="Arial" w:eastAsia="Arial" w:hAnsi="Arial" w:cs="Times New Roman"/>
        </w:rPr>
        <w:t xml:space="preserve"> of member authorities.  In addition, it helps us to better understand their views on the benefits of membership, their priorities, sector-led improvement, how well informed they feel about the work of the LGA and areas for improvement. </w:t>
      </w:r>
    </w:p>
    <w:p w14:paraId="18907958" w14:textId="77777777" w:rsidR="00EE4620" w:rsidRPr="00EE4620" w:rsidRDefault="00EE4620" w:rsidP="00EE4620">
      <w:pPr>
        <w:spacing w:after="360" w:line="240" w:lineRule="auto"/>
        <w:ind w:left="567"/>
        <w:contextualSpacing/>
        <w:rPr>
          <w:rFonts w:ascii="Arial" w:eastAsia="Arial" w:hAnsi="Arial" w:cs="Times New Roman"/>
          <w:b/>
        </w:rPr>
      </w:pPr>
    </w:p>
    <w:p w14:paraId="18907959" w14:textId="77777777" w:rsidR="00EE4620" w:rsidRPr="00EE4620" w:rsidRDefault="00EE4620" w:rsidP="00EE4620">
      <w:pPr>
        <w:spacing w:before="120" w:after="360"/>
        <w:ind w:left="1800" w:hanging="1800"/>
        <w:contextualSpacing/>
        <w:rPr>
          <w:rFonts w:ascii="Arial" w:eastAsia="Arial" w:hAnsi="Arial" w:cs="Times New Roman"/>
          <w:b/>
        </w:rPr>
      </w:pPr>
      <w:r w:rsidRPr="00EE4620">
        <w:rPr>
          <w:rFonts w:ascii="Arial" w:eastAsia="Arial" w:hAnsi="Arial" w:cs="Times New Roman"/>
          <w:b/>
        </w:rPr>
        <w:t>Summary</w:t>
      </w:r>
    </w:p>
    <w:p w14:paraId="1890795A" w14:textId="77777777" w:rsidR="00EE4620" w:rsidRPr="00EE4620" w:rsidRDefault="00EE4620" w:rsidP="00EE4620">
      <w:pPr>
        <w:spacing w:before="120" w:after="360"/>
        <w:ind w:left="1800" w:hanging="1800"/>
        <w:contextualSpacing/>
        <w:rPr>
          <w:rFonts w:ascii="Arial" w:eastAsia="Arial" w:hAnsi="Arial" w:cs="Times New Roman"/>
          <w:b/>
        </w:rPr>
      </w:pPr>
    </w:p>
    <w:p w14:paraId="1890795B" w14:textId="77777777" w:rsidR="00EE4620" w:rsidRPr="00EE4620" w:rsidRDefault="00EE4620" w:rsidP="00EE4620">
      <w:pPr>
        <w:numPr>
          <w:ilvl w:val="0"/>
          <w:numId w:val="3"/>
        </w:numPr>
        <w:spacing w:before="120" w:after="360" w:line="240" w:lineRule="auto"/>
        <w:ind w:left="567" w:hanging="567"/>
        <w:contextualSpacing/>
        <w:rPr>
          <w:rFonts w:ascii="Arial" w:eastAsia="Arial" w:hAnsi="Arial" w:cs="Times New Roman"/>
        </w:rPr>
      </w:pPr>
      <w:r w:rsidRPr="00EE4620">
        <w:rPr>
          <w:rFonts w:ascii="Arial" w:eastAsia="Arial" w:hAnsi="Arial" w:cs="Times New Roman"/>
        </w:rPr>
        <w:t xml:space="preserve">Overall, the results show significant improvements compared to 2012 in all of the key areas.  Respondents are more satisfied with the work we undertake on their behalf, believe we are more influential in shaping the agenda for local government and think we have become more effective at representing the views of our members.  Importantly, more feel that we offer good value for money.  They also agree </w:t>
      </w:r>
      <w:r w:rsidRPr="00EE4620">
        <w:rPr>
          <w:rFonts w:ascii="Arial" w:eastAsia="Arial" w:hAnsi="Arial" w:cs="Arial"/>
        </w:rPr>
        <w:t>that</w:t>
      </w:r>
      <w:r w:rsidRPr="00EE4620">
        <w:rPr>
          <w:rFonts w:ascii="Arial" w:eastAsia="Arial" w:hAnsi="Arial" w:cs="Times New Roman"/>
        </w:rPr>
        <w:t xml:space="preserve"> we address the issues that are important to councils and that we have been an effective advocate for the interests of local government.</w:t>
      </w:r>
    </w:p>
    <w:p w14:paraId="1890795C" w14:textId="77777777" w:rsidR="00EE4620" w:rsidRPr="00EE4620" w:rsidRDefault="00EE4620" w:rsidP="00EE4620">
      <w:pPr>
        <w:spacing w:before="120" w:after="360" w:line="240" w:lineRule="auto"/>
        <w:ind w:left="567"/>
        <w:contextualSpacing/>
        <w:rPr>
          <w:rFonts w:ascii="Arial" w:eastAsia="Arial" w:hAnsi="Arial" w:cs="Times New Roman"/>
        </w:rPr>
      </w:pPr>
    </w:p>
    <w:p w14:paraId="1890795D" w14:textId="77777777" w:rsidR="00EE4620" w:rsidRPr="00EE4620" w:rsidRDefault="00EE4620" w:rsidP="00EE4620">
      <w:pPr>
        <w:numPr>
          <w:ilvl w:val="0"/>
          <w:numId w:val="3"/>
        </w:numPr>
        <w:spacing w:before="120" w:after="360" w:line="240" w:lineRule="auto"/>
        <w:ind w:left="567" w:hanging="567"/>
        <w:contextualSpacing/>
        <w:rPr>
          <w:rFonts w:ascii="Arial" w:eastAsia="Arial" w:hAnsi="Arial" w:cs="Times New Roman"/>
        </w:rPr>
      </w:pPr>
      <w:r w:rsidRPr="00EE4620">
        <w:rPr>
          <w:rFonts w:ascii="Arial" w:eastAsia="Arial" w:hAnsi="Arial" w:cs="Times New Roman"/>
        </w:rPr>
        <w:t xml:space="preserve">There are significant increases since 2012 in the extent to which respondents understand the purpose of the LGA and how we work for local government.  Knowledge and awareness of the LGA and the work we undertake has increased </w:t>
      </w:r>
      <w:r w:rsidRPr="00EE4620">
        <w:rPr>
          <w:rFonts w:ascii="Arial" w:eastAsia="Arial" w:hAnsi="Arial" w:cs="Arial"/>
        </w:rPr>
        <w:t>significantly</w:t>
      </w:r>
      <w:r w:rsidRPr="00EE4620">
        <w:rPr>
          <w:rFonts w:ascii="Arial" w:eastAsia="Arial" w:hAnsi="Arial" w:cs="Times New Roman"/>
        </w:rPr>
        <w:t xml:space="preserve">.  However, as in 2012 there are some variations, depending on specific job role. ‘Backbench’ councillors’ are more likely to have the least knowledge of the LGA.  </w:t>
      </w:r>
    </w:p>
    <w:p w14:paraId="1890795E" w14:textId="77777777" w:rsidR="00EE4620" w:rsidRPr="00EE4620" w:rsidRDefault="00EE4620" w:rsidP="00EE4620">
      <w:pPr>
        <w:spacing w:before="120" w:after="360" w:line="240" w:lineRule="auto"/>
        <w:contextualSpacing/>
        <w:rPr>
          <w:rFonts w:ascii="Arial" w:eastAsia="Arial" w:hAnsi="Arial" w:cs="Arial"/>
        </w:rPr>
      </w:pPr>
    </w:p>
    <w:p w14:paraId="1890795F" w14:textId="77777777" w:rsidR="00EE4620" w:rsidRPr="00EE4620" w:rsidRDefault="00EE4620" w:rsidP="00EE4620">
      <w:pPr>
        <w:numPr>
          <w:ilvl w:val="0"/>
          <w:numId w:val="3"/>
        </w:numPr>
        <w:spacing w:before="120" w:after="360" w:line="240" w:lineRule="auto"/>
        <w:ind w:left="567" w:hanging="567"/>
        <w:contextualSpacing/>
        <w:rPr>
          <w:rFonts w:ascii="Arial" w:eastAsia="Arial" w:hAnsi="Arial" w:cs="Arial"/>
        </w:rPr>
      </w:pPr>
      <w:r w:rsidRPr="00EE4620">
        <w:rPr>
          <w:rFonts w:ascii="Arial" w:eastAsia="Arial" w:hAnsi="Arial" w:cs="Arial"/>
        </w:rPr>
        <w:t>Significantly more respondents say they would ‘speak positively about the LGA to others’ than in 2012 and more say they are satisfied with our work on behalf of local government.</w:t>
      </w:r>
    </w:p>
    <w:p w14:paraId="18907960" w14:textId="77777777" w:rsidR="00EE4620" w:rsidRPr="00EE4620" w:rsidRDefault="00EE4620" w:rsidP="00EE4620">
      <w:pPr>
        <w:spacing w:before="120" w:after="360" w:line="240" w:lineRule="auto"/>
        <w:contextualSpacing/>
        <w:rPr>
          <w:rFonts w:ascii="Arial" w:eastAsia="Arial" w:hAnsi="Arial" w:cs="Arial"/>
        </w:rPr>
      </w:pPr>
    </w:p>
    <w:p w14:paraId="18907961" w14:textId="77777777" w:rsidR="00EE4620" w:rsidRPr="00EE4620" w:rsidRDefault="00EE4620" w:rsidP="00EE4620">
      <w:pPr>
        <w:numPr>
          <w:ilvl w:val="0"/>
          <w:numId w:val="3"/>
        </w:numPr>
        <w:spacing w:before="120" w:after="360" w:line="240" w:lineRule="auto"/>
        <w:ind w:left="567" w:hanging="567"/>
        <w:contextualSpacing/>
        <w:rPr>
          <w:rFonts w:ascii="Arial" w:eastAsia="Arial" w:hAnsi="Arial" w:cs="Arial"/>
        </w:rPr>
      </w:pPr>
      <w:r w:rsidRPr="00EE4620">
        <w:rPr>
          <w:rFonts w:ascii="Arial" w:eastAsia="Arial" w:hAnsi="Arial" w:cs="Arial"/>
        </w:rPr>
        <w:t>As in 2012, the services that are seen as most important are those related to our national role lobbying on behalf of local government.</w:t>
      </w:r>
    </w:p>
    <w:p w14:paraId="18907962" w14:textId="77777777" w:rsidR="00EE4620" w:rsidRPr="00EE4620" w:rsidRDefault="00EE4620" w:rsidP="00EE4620">
      <w:pPr>
        <w:spacing w:before="120" w:after="360"/>
        <w:ind w:left="1800"/>
        <w:contextualSpacing/>
        <w:rPr>
          <w:rFonts w:ascii="Arial" w:eastAsia="Arial" w:hAnsi="Arial" w:cs="Arial"/>
        </w:rPr>
      </w:pPr>
    </w:p>
    <w:p w14:paraId="18907963" w14:textId="77777777" w:rsidR="00EE4620" w:rsidRPr="00EE4620" w:rsidRDefault="00EE4620" w:rsidP="00EE4620">
      <w:pPr>
        <w:numPr>
          <w:ilvl w:val="0"/>
          <w:numId w:val="3"/>
        </w:numPr>
        <w:spacing w:before="120" w:after="360" w:line="240" w:lineRule="auto"/>
        <w:ind w:left="567" w:hanging="567"/>
        <w:contextualSpacing/>
        <w:rPr>
          <w:rFonts w:ascii="Arial" w:eastAsia="Arial" w:hAnsi="Arial" w:cs="Arial"/>
        </w:rPr>
      </w:pPr>
      <w:r w:rsidRPr="00EE4620">
        <w:rPr>
          <w:rFonts w:ascii="Arial" w:eastAsia="Arial" w:hAnsi="Arial" w:cs="Arial"/>
        </w:rPr>
        <w:t xml:space="preserve">More people believe we keep them well informed about our work compared with 2012. </w:t>
      </w:r>
    </w:p>
    <w:p w14:paraId="18907964" w14:textId="77777777" w:rsidR="00EE4620" w:rsidRPr="00EE4620" w:rsidRDefault="00EE4620" w:rsidP="00EE4620">
      <w:pPr>
        <w:spacing w:before="120" w:after="360"/>
        <w:ind w:left="1800"/>
        <w:contextualSpacing/>
        <w:rPr>
          <w:rFonts w:ascii="Arial" w:eastAsia="Arial" w:hAnsi="Arial" w:cs="Arial"/>
        </w:rPr>
      </w:pPr>
    </w:p>
    <w:p w14:paraId="18907965" w14:textId="77777777" w:rsidR="00EE4620" w:rsidRPr="00EE4620" w:rsidRDefault="00EE4620" w:rsidP="00EE4620">
      <w:pPr>
        <w:numPr>
          <w:ilvl w:val="0"/>
          <w:numId w:val="3"/>
        </w:numPr>
        <w:spacing w:before="120" w:after="360" w:line="240" w:lineRule="auto"/>
        <w:ind w:left="567" w:hanging="567"/>
        <w:contextualSpacing/>
        <w:rPr>
          <w:rFonts w:ascii="Arial" w:eastAsia="Arial" w:hAnsi="Arial" w:cs="Arial"/>
        </w:rPr>
      </w:pPr>
      <w:r w:rsidRPr="00EE4620">
        <w:rPr>
          <w:rFonts w:ascii="Arial" w:eastAsia="Arial" w:hAnsi="Arial" w:cs="Arial"/>
        </w:rPr>
        <w:t xml:space="preserve">The strong links between feeling informed and overall satisfaction are reinforced with </w:t>
      </w:r>
      <w:r w:rsidRPr="00EE4620">
        <w:rPr>
          <w:rFonts w:ascii="Arial" w:eastAsia="Arial" w:hAnsi="Arial" w:cs="Arial"/>
          <w:b/>
        </w:rPr>
        <w:t>77 per cent</w:t>
      </w:r>
      <w:r w:rsidRPr="00EE4620">
        <w:rPr>
          <w:rFonts w:ascii="Arial" w:eastAsia="Arial" w:hAnsi="Arial" w:cs="Arial"/>
        </w:rPr>
        <w:t xml:space="preserve"> of respondents feeling informed about the LGA </w:t>
      </w:r>
      <w:r w:rsidRPr="00EE4620">
        <w:rPr>
          <w:rFonts w:ascii="Arial" w:eastAsia="Arial" w:hAnsi="Arial" w:cs="Arial"/>
        </w:rPr>
        <w:tab/>
        <w:t xml:space="preserve">and our work.  The main methods of communication from which respondents get their information are First magazine, events, media work, our website, bulletins (Chairman, Chief Executive, board and political group office bulletins) and publications (such as </w:t>
      </w:r>
      <w:r w:rsidRPr="00EE4620">
        <w:rPr>
          <w:rFonts w:ascii="Arial" w:eastAsia="Arial" w:hAnsi="Arial" w:cs="Arial"/>
          <w:i/>
        </w:rPr>
        <w:t>Rewiring</w:t>
      </w:r>
      <w:r w:rsidRPr="00EE4620">
        <w:rPr>
          <w:rFonts w:ascii="Arial" w:eastAsia="Arial" w:hAnsi="Arial" w:cs="Arial"/>
        </w:rPr>
        <w:t xml:space="preserve">). </w:t>
      </w:r>
    </w:p>
    <w:p w14:paraId="18907966" w14:textId="77777777" w:rsidR="00EE4620" w:rsidRPr="00EE4620" w:rsidRDefault="00EE4620" w:rsidP="00EE4620">
      <w:pPr>
        <w:spacing w:before="120" w:after="360"/>
        <w:ind w:left="1800"/>
        <w:contextualSpacing/>
        <w:rPr>
          <w:rFonts w:ascii="Arial" w:eastAsia="Arial" w:hAnsi="Arial" w:cs="Arial"/>
        </w:rPr>
      </w:pPr>
    </w:p>
    <w:p w14:paraId="18907967" w14:textId="77777777" w:rsidR="00EE4620" w:rsidRPr="00EE4620" w:rsidRDefault="00EE4620" w:rsidP="00EE4620">
      <w:pPr>
        <w:numPr>
          <w:ilvl w:val="0"/>
          <w:numId w:val="3"/>
        </w:numPr>
        <w:spacing w:before="120" w:after="360" w:line="240" w:lineRule="auto"/>
        <w:ind w:left="567" w:hanging="567"/>
        <w:contextualSpacing/>
        <w:rPr>
          <w:rFonts w:ascii="Arial" w:eastAsia="Arial" w:hAnsi="Arial" w:cs="Arial"/>
        </w:rPr>
      </w:pPr>
      <w:r w:rsidRPr="00EE4620">
        <w:rPr>
          <w:rFonts w:ascii="Arial" w:eastAsia="Arial" w:hAnsi="Arial" w:cs="Arial"/>
        </w:rPr>
        <w:t>There is high level of awareness of Rewiring Public Services (</w:t>
      </w:r>
      <w:r w:rsidRPr="00EE4620">
        <w:rPr>
          <w:rFonts w:ascii="Arial" w:eastAsia="Arial" w:hAnsi="Arial" w:cs="Arial"/>
          <w:b/>
        </w:rPr>
        <w:t>78 per cent</w:t>
      </w:r>
      <w:r w:rsidRPr="00EE4620">
        <w:rPr>
          <w:rFonts w:ascii="Arial" w:eastAsia="Arial" w:hAnsi="Arial" w:cs="Arial"/>
        </w:rPr>
        <w:t>).</w:t>
      </w:r>
    </w:p>
    <w:p w14:paraId="18907968" w14:textId="77777777" w:rsidR="00EE4620" w:rsidRPr="00EE4620" w:rsidRDefault="00EE4620" w:rsidP="00EE4620">
      <w:pPr>
        <w:spacing w:before="120" w:after="360" w:line="240" w:lineRule="auto"/>
        <w:ind w:left="567"/>
        <w:contextualSpacing/>
        <w:rPr>
          <w:rFonts w:ascii="Arial" w:eastAsia="Arial" w:hAnsi="Arial" w:cs="Arial"/>
        </w:rPr>
      </w:pPr>
      <w:r w:rsidRPr="00EE4620">
        <w:rPr>
          <w:rFonts w:ascii="Arial" w:eastAsia="Arial" w:hAnsi="Arial" w:cs="Arial"/>
        </w:rPr>
        <w:br w:type="page"/>
      </w:r>
    </w:p>
    <w:p w14:paraId="18907969" w14:textId="77777777" w:rsidR="00EE4620" w:rsidRPr="00EE4620" w:rsidRDefault="00EE4620" w:rsidP="00EE4620">
      <w:pPr>
        <w:numPr>
          <w:ilvl w:val="0"/>
          <w:numId w:val="3"/>
        </w:numPr>
        <w:spacing w:before="120" w:after="360" w:line="240" w:lineRule="auto"/>
        <w:ind w:left="567" w:hanging="567"/>
        <w:contextualSpacing/>
        <w:rPr>
          <w:rFonts w:ascii="Arial" w:eastAsia="Arial" w:hAnsi="Arial" w:cs="Arial"/>
        </w:rPr>
      </w:pPr>
      <w:r w:rsidRPr="00EE4620">
        <w:rPr>
          <w:rFonts w:ascii="Arial" w:eastAsia="Arial" w:hAnsi="Arial" w:cs="Arial"/>
        </w:rPr>
        <w:lastRenderedPageBreak/>
        <w:t xml:space="preserve">This year, for the first time, we asked a series of questions about the Centre for Public Scrutiny and Local Partnerships.  Around half of the respondents have heard of the Centre for Public Scrutiny and Local Partnerships.  Of those who were aware their council had used the services, the majority were satisfied or very satisfied with the service they had received. </w:t>
      </w:r>
    </w:p>
    <w:p w14:paraId="1890796A" w14:textId="77777777" w:rsidR="00EE4620" w:rsidRPr="00EE4620" w:rsidRDefault="00EE4620" w:rsidP="00EE4620">
      <w:pPr>
        <w:spacing w:before="120" w:after="360" w:line="240" w:lineRule="auto"/>
        <w:ind w:left="567"/>
        <w:contextualSpacing/>
        <w:rPr>
          <w:rFonts w:ascii="Arial" w:eastAsia="Arial" w:hAnsi="Arial" w:cs="Arial"/>
        </w:rPr>
      </w:pPr>
    </w:p>
    <w:p w14:paraId="1890796B" w14:textId="77777777" w:rsidR="00EE4620" w:rsidRPr="00EE4620" w:rsidRDefault="00EE4620" w:rsidP="00EE4620">
      <w:pPr>
        <w:numPr>
          <w:ilvl w:val="0"/>
          <w:numId w:val="3"/>
        </w:numPr>
        <w:spacing w:before="120" w:after="360" w:line="240" w:lineRule="auto"/>
        <w:ind w:left="567" w:hanging="567"/>
        <w:contextualSpacing/>
        <w:rPr>
          <w:rFonts w:ascii="Arial" w:eastAsia="Arial" w:hAnsi="Arial" w:cs="Arial"/>
        </w:rPr>
      </w:pPr>
      <w:r w:rsidRPr="00EE4620">
        <w:rPr>
          <w:rFonts w:ascii="Arial" w:eastAsia="Arial" w:hAnsi="Arial" w:cs="Arial"/>
        </w:rPr>
        <w:t xml:space="preserve">Although there has been a significant increase in the number of people who feel we demonstrate value for money (from </w:t>
      </w:r>
      <w:r w:rsidRPr="00EE4620">
        <w:rPr>
          <w:rFonts w:ascii="Arial" w:eastAsia="Arial" w:hAnsi="Arial" w:cs="Arial"/>
          <w:b/>
        </w:rPr>
        <w:t>43 per cent to 53 per cent</w:t>
      </w:r>
      <w:r w:rsidRPr="00EE4620">
        <w:rPr>
          <w:rFonts w:ascii="Arial" w:eastAsia="Arial" w:hAnsi="Arial" w:cs="Arial"/>
        </w:rPr>
        <w:t>), this is still comparatively very low when compared to other areas.  Although the number who disagree that we demonstrate value for money is relatively small (10 per cent), the focus of our work over the next year will need to be on the 38 per cent who ‘</w:t>
      </w:r>
      <w:proofErr w:type="gramStart"/>
      <w:r w:rsidRPr="00EE4620">
        <w:rPr>
          <w:rFonts w:ascii="Arial" w:eastAsia="Arial" w:hAnsi="Arial" w:cs="Arial"/>
        </w:rPr>
        <w:t>neither agree/disagree’ or</w:t>
      </w:r>
      <w:proofErr w:type="gramEnd"/>
      <w:r w:rsidRPr="00EE4620">
        <w:rPr>
          <w:rFonts w:ascii="Arial" w:eastAsia="Arial" w:hAnsi="Arial" w:cs="Arial"/>
        </w:rPr>
        <w:t xml:space="preserve"> ‘don’t know.’  In addition, further work needs to be undertaken to focus on backbench councillors in the coming year.  In all areas, they are less likely to understand our work, feel well informed about the work we undertake on behalf of councils, feel we demonstrated value for money and to be advocates of the LGA. </w:t>
      </w:r>
    </w:p>
    <w:p w14:paraId="3DD1C5B7" w14:textId="77777777" w:rsidR="002119A4" w:rsidRDefault="002119A4" w:rsidP="00EE4620">
      <w:pPr>
        <w:spacing w:after="0" w:line="240" w:lineRule="auto"/>
        <w:rPr>
          <w:rFonts w:ascii="Arial" w:eastAsia="Times New Roman" w:hAnsi="Arial" w:cs="Arial"/>
          <w:b/>
          <w:lang w:eastAsia="en-GB"/>
        </w:rPr>
      </w:pPr>
    </w:p>
    <w:p w14:paraId="1890796C" w14:textId="77777777" w:rsidR="00EE4620" w:rsidRPr="00EE4620" w:rsidRDefault="00EE4620" w:rsidP="00EE4620">
      <w:pPr>
        <w:spacing w:after="0" w:line="240" w:lineRule="auto"/>
        <w:rPr>
          <w:rFonts w:ascii="Arial" w:eastAsia="Times New Roman" w:hAnsi="Arial" w:cs="Arial"/>
          <w:b/>
          <w:lang w:eastAsia="en-GB"/>
        </w:rPr>
      </w:pPr>
      <w:r w:rsidRPr="00EE4620">
        <w:rPr>
          <w:rFonts w:ascii="Arial" w:eastAsia="Times New Roman" w:hAnsi="Arial" w:cs="Arial"/>
          <w:b/>
          <w:lang w:eastAsia="en-GB"/>
        </w:rPr>
        <w:t>Key findings</w:t>
      </w:r>
    </w:p>
    <w:p w14:paraId="1890796D" w14:textId="77777777" w:rsidR="00EE4620" w:rsidRPr="00EE4620" w:rsidRDefault="00EE4620" w:rsidP="00EE4620">
      <w:pPr>
        <w:spacing w:after="0" w:line="240" w:lineRule="auto"/>
        <w:rPr>
          <w:rFonts w:ascii="Arial" w:eastAsia="Times New Roman" w:hAnsi="Arial" w:cs="Arial"/>
          <w:b/>
          <w:lang w:eastAsia="en-GB"/>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0"/>
        <w:gridCol w:w="708"/>
        <w:gridCol w:w="820"/>
        <w:gridCol w:w="1023"/>
      </w:tblGrid>
      <w:tr w:rsidR="00EE4620" w:rsidRPr="00EE4620" w14:paraId="18907972" w14:textId="77777777" w:rsidTr="00E55451">
        <w:tc>
          <w:tcPr>
            <w:tcW w:w="6380" w:type="dxa"/>
            <w:shd w:val="clear" w:color="auto" w:fill="auto"/>
          </w:tcPr>
          <w:p w14:paraId="1890796E" w14:textId="77777777" w:rsidR="00EE4620" w:rsidRPr="00EE4620" w:rsidRDefault="00EE4620" w:rsidP="00EE4620">
            <w:pPr>
              <w:spacing w:after="0" w:line="240" w:lineRule="auto"/>
              <w:rPr>
                <w:rFonts w:ascii="Arial" w:eastAsia="Times New Roman" w:hAnsi="Arial" w:cs="Arial"/>
                <w:b/>
                <w:lang w:eastAsia="en-GB"/>
              </w:rPr>
            </w:pPr>
            <w:r w:rsidRPr="00EE4620">
              <w:rPr>
                <w:rFonts w:ascii="Arial" w:eastAsia="Times New Roman" w:hAnsi="Arial" w:cs="Arial"/>
                <w:b/>
                <w:lang w:eastAsia="en-GB"/>
              </w:rPr>
              <w:t>Question</w:t>
            </w:r>
          </w:p>
        </w:tc>
        <w:tc>
          <w:tcPr>
            <w:tcW w:w="708" w:type="dxa"/>
            <w:shd w:val="clear" w:color="auto" w:fill="auto"/>
          </w:tcPr>
          <w:p w14:paraId="1890796F" w14:textId="77777777" w:rsidR="00EE4620" w:rsidRPr="00EE4620" w:rsidRDefault="00EE4620" w:rsidP="00EE4620">
            <w:pPr>
              <w:spacing w:after="0" w:line="240" w:lineRule="auto"/>
              <w:rPr>
                <w:rFonts w:ascii="Arial" w:eastAsia="Times New Roman" w:hAnsi="Arial" w:cs="Arial"/>
                <w:b/>
                <w:lang w:eastAsia="en-GB"/>
              </w:rPr>
            </w:pPr>
            <w:r w:rsidRPr="00EE4620">
              <w:rPr>
                <w:rFonts w:ascii="Arial" w:eastAsia="Times New Roman" w:hAnsi="Arial" w:cs="Arial"/>
                <w:b/>
                <w:lang w:eastAsia="en-GB"/>
              </w:rPr>
              <w:t>2012</w:t>
            </w:r>
          </w:p>
        </w:tc>
        <w:tc>
          <w:tcPr>
            <w:tcW w:w="820" w:type="dxa"/>
            <w:shd w:val="clear" w:color="auto" w:fill="auto"/>
          </w:tcPr>
          <w:p w14:paraId="18907970" w14:textId="77777777" w:rsidR="00EE4620" w:rsidRPr="00EE4620" w:rsidRDefault="00EE4620" w:rsidP="00EE4620">
            <w:pPr>
              <w:spacing w:after="0" w:line="240" w:lineRule="auto"/>
              <w:rPr>
                <w:rFonts w:ascii="Arial" w:eastAsia="Times New Roman" w:hAnsi="Arial" w:cs="Arial"/>
                <w:b/>
                <w:lang w:eastAsia="en-GB"/>
              </w:rPr>
            </w:pPr>
            <w:r w:rsidRPr="00EE4620">
              <w:rPr>
                <w:rFonts w:ascii="Arial" w:eastAsia="Times New Roman" w:hAnsi="Arial" w:cs="Arial"/>
                <w:b/>
                <w:lang w:eastAsia="en-GB"/>
              </w:rPr>
              <w:t>2013</w:t>
            </w:r>
          </w:p>
        </w:tc>
        <w:tc>
          <w:tcPr>
            <w:tcW w:w="1023" w:type="dxa"/>
            <w:shd w:val="clear" w:color="auto" w:fill="auto"/>
          </w:tcPr>
          <w:p w14:paraId="18907971" w14:textId="77777777" w:rsidR="00EE4620" w:rsidRPr="00EE4620" w:rsidRDefault="00EE4620" w:rsidP="00EE4620">
            <w:pPr>
              <w:spacing w:after="0" w:line="240" w:lineRule="auto"/>
              <w:rPr>
                <w:rFonts w:ascii="Arial" w:eastAsia="Times New Roman" w:hAnsi="Arial" w:cs="Arial"/>
                <w:b/>
                <w:lang w:eastAsia="en-GB"/>
              </w:rPr>
            </w:pPr>
            <w:r w:rsidRPr="00EE4620">
              <w:rPr>
                <w:rFonts w:ascii="Arial" w:eastAsia="Times New Roman" w:hAnsi="Arial" w:cs="Arial"/>
                <w:b/>
                <w:lang w:eastAsia="en-GB"/>
              </w:rPr>
              <w:t>% point change</w:t>
            </w:r>
          </w:p>
        </w:tc>
      </w:tr>
      <w:tr w:rsidR="00EE4620" w:rsidRPr="00EE4620" w14:paraId="18907977" w14:textId="77777777" w:rsidTr="00E55451">
        <w:tc>
          <w:tcPr>
            <w:tcW w:w="6380" w:type="dxa"/>
            <w:shd w:val="clear" w:color="auto" w:fill="auto"/>
          </w:tcPr>
          <w:p w14:paraId="18907973" w14:textId="77777777" w:rsidR="00EE4620" w:rsidRPr="00EE4620" w:rsidRDefault="00EE4620" w:rsidP="00EE4620">
            <w:pPr>
              <w:spacing w:after="0" w:line="240" w:lineRule="auto"/>
              <w:rPr>
                <w:rFonts w:ascii="Arial" w:eastAsia="Times New Roman" w:hAnsi="Arial" w:cs="Arial"/>
                <w:lang w:eastAsia="en-GB"/>
              </w:rPr>
            </w:pPr>
            <w:r w:rsidRPr="00EE4620">
              <w:rPr>
                <w:rFonts w:ascii="Arial" w:eastAsia="Times New Roman" w:hAnsi="Arial" w:cs="Arial"/>
                <w:lang w:eastAsia="en-GB"/>
              </w:rPr>
              <w:t>I would speak positively about the LGA</w:t>
            </w:r>
          </w:p>
        </w:tc>
        <w:tc>
          <w:tcPr>
            <w:tcW w:w="708" w:type="dxa"/>
            <w:shd w:val="clear" w:color="auto" w:fill="auto"/>
          </w:tcPr>
          <w:p w14:paraId="18907974" w14:textId="77777777" w:rsidR="00EE4620" w:rsidRPr="00EE4620" w:rsidRDefault="00EE4620" w:rsidP="00EE4620">
            <w:pPr>
              <w:spacing w:after="0" w:line="240" w:lineRule="auto"/>
              <w:rPr>
                <w:rFonts w:ascii="Arial" w:eastAsia="Times New Roman" w:hAnsi="Arial" w:cs="Arial"/>
                <w:lang w:eastAsia="en-GB"/>
              </w:rPr>
            </w:pPr>
            <w:r w:rsidRPr="00EE4620">
              <w:rPr>
                <w:rFonts w:ascii="Arial" w:eastAsia="Times New Roman" w:hAnsi="Arial" w:cs="Arial"/>
                <w:lang w:eastAsia="en-GB"/>
              </w:rPr>
              <w:t>63%</w:t>
            </w:r>
          </w:p>
        </w:tc>
        <w:tc>
          <w:tcPr>
            <w:tcW w:w="820" w:type="dxa"/>
            <w:shd w:val="clear" w:color="auto" w:fill="auto"/>
          </w:tcPr>
          <w:p w14:paraId="18907975" w14:textId="77777777" w:rsidR="00EE4620" w:rsidRPr="00EE4620" w:rsidRDefault="00EE4620" w:rsidP="00EE4620">
            <w:pPr>
              <w:spacing w:after="0" w:line="240" w:lineRule="auto"/>
              <w:rPr>
                <w:rFonts w:ascii="Arial" w:eastAsia="Times New Roman" w:hAnsi="Arial" w:cs="Arial"/>
                <w:b/>
                <w:lang w:eastAsia="en-GB"/>
              </w:rPr>
            </w:pPr>
            <w:r w:rsidRPr="00EE4620">
              <w:rPr>
                <w:rFonts w:ascii="Arial" w:eastAsia="Times New Roman" w:hAnsi="Arial" w:cs="Arial"/>
                <w:b/>
                <w:lang w:eastAsia="en-GB"/>
              </w:rPr>
              <w:t>73%</w:t>
            </w:r>
          </w:p>
        </w:tc>
        <w:tc>
          <w:tcPr>
            <w:tcW w:w="1023" w:type="dxa"/>
            <w:shd w:val="clear" w:color="auto" w:fill="00B050"/>
          </w:tcPr>
          <w:p w14:paraId="18907976" w14:textId="77777777" w:rsidR="00EE4620" w:rsidRPr="00EE4620" w:rsidRDefault="00EE4620" w:rsidP="00EE4620">
            <w:pPr>
              <w:spacing w:after="0" w:line="240" w:lineRule="auto"/>
              <w:rPr>
                <w:rFonts w:ascii="Arial" w:eastAsia="Times New Roman" w:hAnsi="Arial" w:cs="Arial"/>
                <w:b/>
                <w:lang w:eastAsia="en-GB"/>
              </w:rPr>
            </w:pPr>
            <w:r w:rsidRPr="00EE4620">
              <w:rPr>
                <w:rFonts w:ascii="Arial" w:eastAsia="Times New Roman" w:hAnsi="Arial" w:cs="Arial"/>
                <w:b/>
                <w:lang w:eastAsia="en-GB"/>
              </w:rPr>
              <w:t>+10%</w:t>
            </w:r>
          </w:p>
        </w:tc>
      </w:tr>
      <w:tr w:rsidR="00EE4620" w:rsidRPr="00EE4620" w14:paraId="1890797C" w14:textId="77777777" w:rsidTr="00E55451">
        <w:tc>
          <w:tcPr>
            <w:tcW w:w="6380" w:type="dxa"/>
            <w:shd w:val="clear" w:color="auto" w:fill="auto"/>
          </w:tcPr>
          <w:p w14:paraId="18907978" w14:textId="77777777" w:rsidR="00EE4620" w:rsidRPr="00EE4620" w:rsidRDefault="00EE4620" w:rsidP="00EE4620">
            <w:pPr>
              <w:spacing w:after="0" w:line="240" w:lineRule="auto"/>
              <w:rPr>
                <w:rFonts w:ascii="Arial" w:eastAsia="Times New Roman" w:hAnsi="Arial" w:cs="Arial"/>
                <w:lang w:eastAsia="en-GB"/>
              </w:rPr>
            </w:pPr>
            <w:r w:rsidRPr="00EE4620">
              <w:rPr>
                <w:rFonts w:ascii="Arial" w:eastAsia="Times New Roman" w:hAnsi="Arial" w:cs="Arial"/>
                <w:lang w:eastAsia="en-GB"/>
              </w:rPr>
              <w:t xml:space="preserve">Satisfied </w:t>
            </w:r>
            <w:r w:rsidRPr="00EE4620">
              <w:rPr>
                <w:rFonts w:ascii="Arial" w:eastAsia="Times New Roman" w:hAnsi="Arial" w:cs="Arial"/>
                <w:color w:val="000000"/>
                <w:lang w:eastAsia="en-GB"/>
              </w:rPr>
              <w:t>with the work of the LGA on behalf of the local government sector</w:t>
            </w:r>
          </w:p>
        </w:tc>
        <w:tc>
          <w:tcPr>
            <w:tcW w:w="708" w:type="dxa"/>
            <w:shd w:val="clear" w:color="auto" w:fill="auto"/>
          </w:tcPr>
          <w:p w14:paraId="18907979" w14:textId="77777777" w:rsidR="00EE4620" w:rsidRPr="00EE4620" w:rsidRDefault="00EE4620" w:rsidP="00EE4620">
            <w:pPr>
              <w:spacing w:after="0" w:line="240" w:lineRule="auto"/>
              <w:rPr>
                <w:rFonts w:ascii="Arial" w:eastAsia="Times New Roman" w:hAnsi="Arial" w:cs="Arial"/>
                <w:lang w:eastAsia="en-GB"/>
              </w:rPr>
            </w:pPr>
            <w:r w:rsidRPr="00EE4620">
              <w:rPr>
                <w:rFonts w:ascii="Arial" w:eastAsia="Times New Roman" w:hAnsi="Arial" w:cs="Arial"/>
                <w:lang w:eastAsia="en-GB"/>
              </w:rPr>
              <w:t>62%</w:t>
            </w:r>
          </w:p>
        </w:tc>
        <w:tc>
          <w:tcPr>
            <w:tcW w:w="820" w:type="dxa"/>
            <w:shd w:val="clear" w:color="auto" w:fill="auto"/>
          </w:tcPr>
          <w:p w14:paraId="1890797A" w14:textId="77777777" w:rsidR="00EE4620" w:rsidRPr="00EE4620" w:rsidRDefault="00EE4620" w:rsidP="00EE4620">
            <w:pPr>
              <w:spacing w:after="0" w:line="240" w:lineRule="auto"/>
              <w:rPr>
                <w:rFonts w:ascii="Arial" w:eastAsia="Times New Roman" w:hAnsi="Arial" w:cs="Arial"/>
                <w:b/>
                <w:lang w:eastAsia="en-GB"/>
              </w:rPr>
            </w:pPr>
            <w:r w:rsidRPr="00EE4620">
              <w:rPr>
                <w:rFonts w:ascii="Arial" w:eastAsia="Times New Roman" w:hAnsi="Arial" w:cs="Arial"/>
                <w:b/>
                <w:lang w:eastAsia="en-GB"/>
              </w:rPr>
              <w:t>70%</w:t>
            </w:r>
          </w:p>
        </w:tc>
        <w:tc>
          <w:tcPr>
            <w:tcW w:w="1023" w:type="dxa"/>
            <w:shd w:val="clear" w:color="auto" w:fill="00B050"/>
          </w:tcPr>
          <w:p w14:paraId="1890797B" w14:textId="77777777" w:rsidR="00EE4620" w:rsidRPr="00EE4620" w:rsidRDefault="00EE4620" w:rsidP="00EE4620">
            <w:pPr>
              <w:spacing w:after="0" w:line="240" w:lineRule="auto"/>
              <w:rPr>
                <w:rFonts w:ascii="Arial" w:eastAsia="Times New Roman" w:hAnsi="Arial" w:cs="Arial"/>
                <w:b/>
                <w:lang w:eastAsia="en-GB"/>
              </w:rPr>
            </w:pPr>
            <w:r w:rsidRPr="00EE4620">
              <w:rPr>
                <w:rFonts w:ascii="Arial" w:eastAsia="Times New Roman" w:hAnsi="Arial" w:cs="Arial"/>
                <w:b/>
                <w:lang w:eastAsia="en-GB"/>
              </w:rPr>
              <w:t>+8%</w:t>
            </w:r>
          </w:p>
        </w:tc>
      </w:tr>
      <w:tr w:rsidR="00EE4620" w:rsidRPr="00EE4620" w14:paraId="18907981" w14:textId="77777777" w:rsidTr="00E55451">
        <w:tc>
          <w:tcPr>
            <w:tcW w:w="6380" w:type="dxa"/>
            <w:shd w:val="clear" w:color="auto" w:fill="auto"/>
          </w:tcPr>
          <w:p w14:paraId="1890797D" w14:textId="77777777" w:rsidR="00EE4620" w:rsidRPr="00EE4620" w:rsidRDefault="00EE4620" w:rsidP="00EE4620">
            <w:pPr>
              <w:spacing w:before="100" w:beforeAutospacing="1" w:after="100" w:afterAutospacing="1" w:line="240" w:lineRule="auto"/>
              <w:ind w:right="60"/>
              <w:rPr>
                <w:rFonts w:ascii="Arial" w:eastAsia="Times New Roman" w:hAnsi="Arial" w:cs="Arial"/>
                <w:lang w:eastAsia="en-GB"/>
              </w:rPr>
            </w:pPr>
            <w:r w:rsidRPr="00EE4620">
              <w:rPr>
                <w:rFonts w:ascii="Arial" w:eastAsia="Times New Roman" w:hAnsi="Arial" w:cs="Arial"/>
                <w:lang w:eastAsia="en-GB"/>
              </w:rPr>
              <w:t xml:space="preserve">The LGA </w:t>
            </w:r>
            <w:r w:rsidRPr="00EE4620">
              <w:rPr>
                <w:rFonts w:ascii="Arial" w:eastAsia="Times New Roman" w:hAnsi="Arial" w:cs="Arial"/>
                <w:color w:val="000000"/>
                <w:lang w:eastAsia="en-GB"/>
              </w:rPr>
              <w:t xml:space="preserve">demonstrates value for money for the funding it receives </w:t>
            </w:r>
          </w:p>
        </w:tc>
        <w:tc>
          <w:tcPr>
            <w:tcW w:w="708" w:type="dxa"/>
            <w:shd w:val="clear" w:color="auto" w:fill="auto"/>
          </w:tcPr>
          <w:p w14:paraId="1890797E" w14:textId="77777777" w:rsidR="00EE4620" w:rsidRPr="00EE4620" w:rsidRDefault="00EE4620" w:rsidP="00EE4620">
            <w:pPr>
              <w:spacing w:after="0" w:line="240" w:lineRule="auto"/>
              <w:rPr>
                <w:rFonts w:ascii="Arial" w:eastAsia="Times New Roman" w:hAnsi="Arial" w:cs="Arial"/>
                <w:lang w:eastAsia="en-GB"/>
              </w:rPr>
            </w:pPr>
            <w:r w:rsidRPr="00EE4620">
              <w:rPr>
                <w:rFonts w:ascii="Arial" w:eastAsia="Times New Roman" w:hAnsi="Arial" w:cs="Arial"/>
                <w:lang w:eastAsia="en-GB"/>
              </w:rPr>
              <w:t>43%</w:t>
            </w:r>
          </w:p>
        </w:tc>
        <w:tc>
          <w:tcPr>
            <w:tcW w:w="820" w:type="dxa"/>
            <w:shd w:val="clear" w:color="auto" w:fill="auto"/>
          </w:tcPr>
          <w:p w14:paraId="1890797F" w14:textId="77777777" w:rsidR="00EE4620" w:rsidRPr="00EE4620" w:rsidRDefault="00EE4620" w:rsidP="00EE4620">
            <w:pPr>
              <w:spacing w:after="0" w:line="240" w:lineRule="auto"/>
              <w:rPr>
                <w:rFonts w:ascii="Arial" w:eastAsia="Times New Roman" w:hAnsi="Arial" w:cs="Arial"/>
                <w:b/>
                <w:lang w:eastAsia="en-GB"/>
              </w:rPr>
            </w:pPr>
            <w:r w:rsidRPr="00EE4620">
              <w:rPr>
                <w:rFonts w:ascii="Arial" w:eastAsia="Times New Roman" w:hAnsi="Arial" w:cs="Arial"/>
                <w:b/>
                <w:lang w:eastAsia="en-GB"/>
              </w:rPr>
              <w:t>53%</w:t>
            </w:r>
          </w:p>
        </w:tc>
        <w:tc>
          <w:tcPr>
            <w:tcW w:w="1023" w:type="dxa"/>
            <w:shd w:val="clear" w:color="auto" w:fill="00B050"/>
          </w:tcPr>
          <w:p w14:paraId="18907980" w14:textId="77777777" w:rsidR="00EE4620" w:rsidRPr="00EE4620" w:rsidRDefault="00EE4620" w:rsidP="00EE4620">
            <w:pPr>
              <w:spacing w:after="0" w:line="240" w:lineRule="auto"/>
              <w:rPr>
                <w:rFonts w:ascii="Arial" w:eastAsia="Times New Roman" w:hAnsi="Arial" w:cs="Arial"/>
                <w:b/>
                <w:lang w:eastAsia="en-GB"/>
              </w:rPr>
            </w:pPr>
            <w:r w:rsidRPr="00EE4620">
              <w:rPr>
                <w:rFonts w:ascii="Arial" w:eastAsia="Times New Roman" w:hAnsi="Arial" w:cs="Arial"/>
                <w:b/>
                <w:lang w:eastAsia="en-GB"/>
              </w:rPr>
              <w:t>+10%</w:t>
            </w:r>
          </w:p>
        </w:tc>
      </w:tr>
      <w:tr w:rsidR="00EE4620" w:rsidRPr="00EE4620" w14:paraId="18907986" w14:textId="77777777" w:rsidTr="00E55451">
        <w:tc>
          <w:tcPr>
            <w:tcW w:w="6380" w:type="dxa"/>
            <w:shd w:val="clear" w:color="auto" w:fill="auto"/>
          </w:tcPr>
          <w:p w14:paraId="18907982" w14:textId="77777777" w:rsidR="00EE4620" w:rsidRPr="00EE4620" w:rsidRDefault="00EE4620" w:rsidP="00EE4620">
            <w:pPr>
              <w:spacing w:before="100" w:beforeAutospacing="1" w:after="100" w:afterAutospacing="1" w:line="240" w:lineRule="auto"/>
              <w:ind w:right="60"/>
              <w:rPr>
                <w:rFonts w:ascii="Arial" w:eastAsia="Times New Roman" w:hAnsi="Arial" w:cs="Arial"/>
                <w:lang w:eastAsia="en-GB"/>
              </w:rPr>
            </w:pPr>
            <w:r w:rsidRPr="00EE4620">
              <w:rPr>
                <w:rFonts w:ascii="Arial" w:eastAsia="Times New Roman" w:hAnsi="Arial" w:cs="Arial"/>
                <w:lang w:eastAsia="en-GB"/>
              </w:rPr>
              <w:t xml:space="preserve">The LGA </w:t>
            </w:r>
            <w:r w:rsidRPr="00EE4620">
              <w:rPr>
                <w:rFonts w:ascii="Arial" w:eastAsia="Times New Roman" w:hAnsi="Arial" w:cs="Arial"/>
                <w:color w:val="000000"/>
                <w:lang w:eastAsia="en-GB"/>
              </w:rPr>
              <w:t xml:space="preserve">is influential in shaping the agenda for local government </w:t>
            </w:r>
          </w:p>
        </w:tc>
        <w:tc>
          <w:tcPr>
            <w:tcW w:w="708" w:type="dxa"/>
            <w:shd w:val="clear" w:color="auto" w:fill="auto"/>
          </w:tcPr>
          <w:p w14:paraId="18907983" w14:textId="77777777" w:rsidR="00EE4620" w:rsidRPr="00EE4620" w:rsidRDefault="00EE4620" w:rsidP="00EE4620">
            <w:pPr>
              <w:spacing w:after="0" w:line="240" w:lineRule="auto"/>
              <w:rPr>
                <w:rFonts w:ascii="Arial" w:eastAsia="Times New Roman" w:hAnsi="Arial" w:cs="Arial"/>
                <w:lang w:eastAsia="en-GB"/>
              </w:rPr>
            </w:pPr>
            <w:r w:rsidRPr="00EE4620">
              <w:rPr>
                <w:rFonts w:ascii="Arial" w:eastAsia="Times New Roman" w:hAnsi="Arial" w:cs="Arial"/>
                <w:lang w:eastAsia="en-GB"/>
              </w:rPr>
              <w:t>62%</w:t>
            </w:r>
          </w:p>
        </w:tc>
        <w:tc>
          <w:tcPr>
            <w:tcW w:w="820" w:type="dxa"/>
            <w:shd w:val="clear" w:color="auto" w:fill="auto"/>
          </w:tcPr>
          <w:p w14:paraId="18907984" w14:textId="77777777" w:rsidR="00EE4620" w:rsidRPr="00EE4620" w:rsidRDefault="00EE4620" w:rsidP="00EE4620">
            <w:pPr>
              <w:spacing w:after="0" w:line="240" w:lineRule="auto"/>
              <w:rPr>
                <w:rFonts w:ascii="Arial" w:eastAsia="Times New Roman" w:hAnsi="Arial" w:cs="Arial"/>
                <w:b/>
                <w:lang w:eastAsia="en-GB"/>
              </w:rPr>
            </w:pPr>
            <w:r w:rsidRPr="00EE4620">
              <w:rPr>
                <w:rFonts w:ascii="Arial" w:eastAsia="Times New Roman" w:hAnsi="Arial" w:cs="Arial"/>
                <w:b/>
                <w:lang w:eastAsia="en-GB"/>
              </w:rPr>
              <w:t>68%</w:t>
            </w:r>
          </w:p>
        </w:tc>
        <w:tc>
          <w:tcPr>
            <w:tcW w:w="1023" w:type="dxa"/>
            <w:shd w:val="clear" w:color="auto" w:fill="00B050"/>
          </w:tcPr>
          <w:p w14:paraId="18907985" w14:textId="77777777" w:rsidR="00EE4620" w:rsidRPr="00EE4620" w:rsidRDefault="00EE4620" w:rsidP="00EE4620">
            <w:pPr>
              <w:spacing w:after="0" w:line="240" w:lineRule="auto"/>
              <w:rPr>
                <w:rFonts w:ascii="Arial" w:eastAsia="Times New Roman" w:hAnsi="Arial" w:cs="Arial"/>
                <w:b/>
                <w:lang w:eastAsia="en-GB"/>
              </w:rPr>
            </w:pPr>
            <w:r w:rsidRPr="00EE4620">
              <w:rPr>
                <w:rFonts w:ascii="Arial" w:eastAsia="Times New Roman" w:hAnsi="Arial" w:cs="Arial"/>
                <w:b/>
                <w:lang w:eastAsia="en-GB"/>
              </w:rPr>
              <w:t>+6%</w:t>
            </w:r>
          </w:p>
        </w:tc>
      </w:tr>
      <w:tr w:rsidR="00EE4620" w:rsidRPr="00EE4620" w14:paraId="1890798B" w14:textId="77777777" w:rsidTr="00E55451">
        <w:tc>
          <w:tcPr>
            <w:tcW w:w="6380" w:type="dxa"/>
            <w:shd w:val="clear" w:color="auto" w:fill="auto"/>
          </w:tcPr>
          <w:p w14:paraId="18907987" w14:textId="77777777" w:rsidR="00EE4620" w:rsidRPr="00EE4620" w:rsidRDefault="00EE4620" w:rsidP="00EE4620">
            <w:pPr>
              <w:spacing w:before="100" w:beforeAutospacing="1" w:after="100" w:afterAutospacing="1" w:line="240" w:lineRule="auto"/>
              <w:ind w:right="60"/>
              <w:rPr>
                <w:rFonts w:ascii="Arial" w:eastAsia="Times New Roman" w:hAnsi="Arial" w:cs="Arial"/>
                <w:lang w:eastAsia="en-GB"/>
              </w:rPr>
            </w:pPr>
            <w:r w:rsidRPr="00EE4620">
              <w:rPr>
                <w:rFonts w:ascii="Arial" w:eastAsia="Times New Roman" w:hAnsi="Arial" w:cs="Arial"/>
                <w:lang w:eastAsia="en-GB"/>
              </w:rPr>
              <w:t>The LGA e</w:t>
            </w:r>
            <w:r w:rsidRPr="00EE4620">
              <w:rPr>
                <w:rFonts w:ascii="Arial" w:eastAsia="Times New Roman" w:hAnsi="Arial" w:cs="Arial"/>
                <w:color w:val="000000"/>
                <w:lang w:eastAsia="en-GB"/>
              </w:rPr>
              <w:t xml:space="preserve">ffectively represents the views of its members to central government </w:t>
            </w:r>
          </w:p>
        </w:tc>
        <w:tc>
          <w:tcPr>
            <w:tcW w:w="708" w:type="dxa"/>
            <w:shd w:val="clear" w:color="auto" w:fill="auto"/>
          </w:tcPr>
          <w:p w14:paraId="18907988" w14:textId="77777777" w:rsidR="00EE4620" w:rsidRPr="00EE4620" w:rsidRDefault="00EE4620" w:rsidP="00EE4620">
            <w:pPr>
              <w:spacing w:after="0" w:line="240" w:lineRule="auto"/>
              <w:rPr>
                <w:rFonts w:ascii="Arial" w:eastAsia="Times New Roman" w:hAnsi="Arial" w:cs="Arial"/>
                <w:lang w:eastAsia="en-GB"/>
              </w:rPr>
            </w:pPr>
            <w:r w:rsidRPr="00EE4620">
              <w:rPr>
                <w:rFonts w:ascii="Arial" w:eastAsia="Times New Roman" w:hAnsi="Arial" w:cs="Arial"/>
                <w:lang w:eastAsia="en-GB"/>
              </w:rPr>
              <w:t>69%</w:t>
            </w:r>
          </w:p>
        </w:tc>
        <w:tc>
          <w:tcPr>
            <w:tcW w:w="820" w:type="dxa"/>
            <w:shd w:val="clear" w:color="auto" w:fill="auto"/>
          </w:tcPr>
          <w:p w14:paraId="18907989" w14:textId="77777777" w:rsidR="00EE4620" w:rsidRPr="00EE4620" w:rsidRDefault="00EE4620" w:rsidP="00EE4620">
            <w:pPr>
              <w:spacing w:after="0" w:line="240" w:lineRule="auto"/>
              <w:rPr>
                <w:rFonts w:ascii="Arial" w:eastAsia="Times New Roman" w:hAnsi="Arial" w:cs="Arial"/>
                <w:b/>
                <w:lang w:eastAsia="en-GB"/>
              </w:rPr>
            </w:pPr>
            <w:r w:rsidRPr="00EE4620">
              <w:rPr>
                <w:rFonts w:ascii="Arial" w:eastAsia="Times New Roman" w:hAnsi="Arial" w:cs="Arial"/>
                <w:b/>
                <w:lang w:eastAsia="en-GB"/>
              </w:rPr>
              <w:t>77%</w:t>
            </w:r>
          </w:p>
        </w:tc>
        <w:tc>
          <w:tcPr>
            <w:tcW w:w="1023" w:type="dxa"/>
            <w:shd w:val="clear" w:color="auto" w:fill="00B050"/>
          </w:tcPr>
          <w:p w14:paraId="1890798A" w14:textId="77777777" w:rsidR="00EE4620" w:rsidRPr="00EE4620" w:rsidRDefault="00EE4620" w:rsidP="00EE4620">
            <w:pPr>
              <w:spacing w:after="0" w:line="240" w:lineRule="auto"/>
              <w:rPr>
                <w:rFonts w:ascii="Arial" w:eastAsia="Times New Roman" w:hAnsi="Arial" w:cs="Arial"/>
                <w:b/>
                <w:lang w:eastAsia="en-GB"/>
              </w:rPr>
            </w:pPr>
            <w:r w:rsidRPr="00EE4620">
              <w:rPr>
                <w:rFonts w:ascii="Arial" w:eastAsia="Times New Roman" w:hAnsi="Arial" w:cs="Arial"/>
                <w:b/>
                <w:lang w:eastAsia="en-GB"/>
              </w:rPr>
              <w:t>+8%</w:t>
            </w:r>
          </w:p>
        </w:tc>
      </w:tr>
      <w:tr w:rsidR="00EE4620" w:rsidRPr="00EE4620" w14:paraId="18907990" w14:textId="77777777" w:rsidTr="00E55451">
        <w:tc>
          <w:tcPr>
            <w:tcW w:w="6380" w:type="dxa"/>
            <w:shd w:val="clear" w:color="auto" w:fill="auto"/>
          </w:tcPr>
          <w:p w14:paraId="1890798C" w14:textId="77777777" w:rsidR="00EE4620" w:rsidRPr="00EE4620" w:rsidRDefault="00EE4620" w:rsidP="00EE4620">
            <w:pPr>
              <w:spacing w:before="100" w:beforeAutospacing="1" w:after="100" w:afterAutospacing="1" w:line="240" w:lineRule="auto"/>
              <w:ind w:right="60"/>
              <w:rPr>
                <w:rFonts w:ascii="Arial" w:eastAsia="Times New Roman" w:hAnsi="Arial" w:cs="Arial"/>
                <w:lang w:eastAsia="en-GB"/>
              </w:rPr>
            </w:pPr>
            <w:r w:rsidRPr="00EE4620">
              <w:rPr>
                <w:rFonts w:ascii="Arial" w:eastAsia="Times New Roman" w:hAnsi="Arial" w:cs="Arial"/>
                <w:lang w:eastAsia="en-GB"/>
              </w:rPr>
              <w:t>The LGA stands up for and defends the reputation of local government</w:t>
            </w:r>
          </w:p>
        </w:tc>
        <w:tc>
          <w:tcPr>
            <w:tcW w:w="708" w:type="dxa"/>
            <w:shd w:val="clear" w:color="auto" w:fill="auto"/>
          </w:tcPr>
          <w:p w14:paraId="1890798D" w14:textId="77777777" w:rsidR="00EE4620" w:rsidRPr="00EE4620" w:rsidRDefault="00EE4620" w:rsidP="00EE4620">
            <w:pPr>
              <w:spacing w:after="0" w:line="240" w:lineRule="auto"/>
              <w:rPr>
                <w:rFonts w:ascii="Arial" w:eastAsia="Times New Roman" w:hAnsi="Arial" w:cs="Arial"/>
                <w:lang w:eastAsia="en-GB"/>
              </w:rPr>
            </w:pPr>
            <w:r w:rsidRPr="00EE4620">
              <w:rPr>
                <w:rFonts w:ascii="Arial" w:eastAsia="Times New Roman" w:hAnsi="Arial" w:cs="Arial"/>
                <w:lang w:eastAsia="en-GB"/>
              </w:rPr>
              <w:t>N/A</w:t>
            </w:r>
          </w:p>
        </w:tc>
        <w:tc>
          <w:tcPr>
            <w:tcW w:w="820" w:type="dxa"/>
            <w:shd w:val="clear" w:color="auto" w:fill="auto"/>
          </w:tcPr>
          <w:p w14:paraId="1890798E" w14:textId="77777777" w:rsidR="00EE4620" w:rsidRPr="00EE4620" w:rsidRDefault="00EE4620" w:rsidP="00EE4620">
            <w:pPr>
              <w:spacing w:after="0" w:line="240" w:lineRule="auto"/>
              <w:rPr>
                <w:rFonts w:ascii="Arial" w:eastAsia="Times New Roman" w:hAnsi="Arial" w:cs="Arial"/>
                <w:b/>
                <w:lang w:eastAsia="en-GB"/>
              </w:rPr>
            </w:pPr>
            <w:r w:rsidRPr="00EE4620">
              <w:rPr>
                <w:rFonts w:ascii="Arial" w:eastAsia="Times New Roman" w:hAnsi="Arial" w:cs="Arial"/>
                <w:b/>
                <w:lang w:eastAsia="en-GB"/>
              </w:rPr>
              <w:t>85%</w:t>
            </w:r>
          </w:p>
        </w:tc>
        <w:tc>
          <w:tcPr>
            <w:tcW w:w="1023" w:type="dxa"/>
            <w:shd w:val="clear" w:color="auto" w:fill="00B050"/>
          </w:tcPr>
          <w:p w14:paraId="1890798F" w14:textId="77777777" w:rsidR="00EE4620" w:rsidRPr="00EE4620" w:rsidRDefault="00EE4620" w:rsidP="00EE4620">
            <w:pPr>
              <w:spacing w:after="0" w:line="240" w:lineRule="auto"/>
              <w:rPr>
                <w:rFonts w:ascii="Arial" w:eastAsia="Times New Roman" w:hAnsi="Arial" w:cs="Arial"/>
                <w:b/>
                <w:lang w:eastAsia="en-GB"/>
              </w:rPr>
            </w:pPr>
            <w:r w:rsidRPr="00EE4620">
              <w:rPr>
                <w:rFonts w:ascii="Arial" w:eastAsia="Times New Roman" w:hAnsi="Arial" w:cs="Arial"/>
                <w:b/>
                <w:lang w:eastAsia="en-GB"/>
              </w:rPr>
              <w:t>N/A</w:t>
            </w:r>
          </w:p>
        </w:tc>
      </w:tr>
      <w:tr w:rsidR="00EE4620" w:rsidRPr="00EE4620" w14:paraId="18907995" w14:textId="77777777" w:rsidTr="00E55451">
        <w:tc>
          <w:tcPr>
            <w:tcW w:w="6380" w:type="dxa"/>
            <w:shd w:val="clear" w:color="auto" w:fill="auto"/>
          </w:tcPr>
          <w:p w14:paraId="18907991" w14:textId="77777777" w:rsidR="00EE4620" w:rsidRPr="00EE4620" w:rsidRDefault="00EE4620" w:rsidP="00EE4620">
            <w:pPr>
              <w:spacing w:before="100" w:beforeAutospacing="1" w:after="100" w:afterAutospacing="1" w:line="240" w:lineRule="auto"/>
              <w:ind w:right="60"/>
              <w:rPr>
                <w:rFonts w:ascii="Arial" w:eastAsia="Times New Roman" w:hAnsi="Arial" w:cs="Arial"/>
                <w:lang w:eastAsia="en-GB"/>
              </w:rPr>
            </w:pPr>
            <w:r w:rsidRPr="00EE4620">
              <w:rPr>
                <w:rFonts w:ascii="Arial" w:eastAsia="Times New Roman" w:hAnsi="Arial" w:cs="Arial"/>
                <w:lang w:eastAsia="en-GB"/>
              </w:rPr>
              <w:t>The LGA addresses the issues that are important to councils</w:t>
            </w:r>
          </w:p>
        </w:tc>
        <w:tc>
          <w:tcPr>
            <w:tcW w:w="708" w:type="dxa"/>
            <w:shd w:val="clear" w:color="auto" w:fill="auto"/>
          </w:tcPr>
          <w:p w14:paraId="18907992" w14:textId="77777777" w:rsidR="00EE4620" w:rsidRPr="00EE4620" w:rsidRDefault="00EE4620" w:rsidP="00EE4620">
            <w:pPr>
              <w:spacing w:after="0" w:line="240" w:lineRule="auto"/>
              <w:rPr>
                <w:rFonts w:ascii="Arial" w:eastAsia="Times New Roman" w:hAnsi="Arial" w:cs="Arial"/>
                <w:lang w:eastAsia="en-GB"/>
              </w:rPr>
            </w:pPr>
            <w:r w:rsidRPr="00EE4620">
              <w:rPr>
                <w:rFonts w:ascii="Arial" w:eastAsia="Times New Roman" w:hAnsi="Arial" w:cs="Arial"/>
                <w:lang w:eastAsia="en-GB"/>
              </w:rPr>
              <w:t>79%</w:t>
            </w:r>
          </w:p>
        </w:tc>
        <w:tc>
          <w:tcPr>
            <w:tcW w:w="820" w:type="dxa"/>
            <w:shd w:val="clear" w:color="auto" w:fill="auto"/>
          </w:tcPr>
          <w:p w14:paraId="18907993" w14:textId="77777777" w:rsidR="00EE4620" w:rsidRPr="00EE4620" w:rsidRDefault="00EE4620" w:rsidP="00EE4620">
            <w:pPr>
              <w:spacing w:after="0" w:line="240" w:lineRule="auto"/>
              <w:rPr>
                <w:rFonts w:ascii="Arial" w:eastAsia="Times New Roman" w:hAnsi="Arial" w:cs="Arial"/>
                <w:b/>
                <w:lang w:eastAsia="en-GB"/>
              </w:rPr>
            </w:pPr>
            <w:r w:rsidRPr="00EE4620">
              <w:rPr>
                <w:rFonts w:ascii="Arial" w:eastAsia="Times New Roman" w:hAnsi="Arial" w:cs="Arial"/>
                <w:b/>
                <w:lang w:eastAsia="en-GB"/>
              </w:rPr>
              <w:t>83%</w:t>
            </w:r>
          </w:p>
        </w:tc>
        <w:tc>
          <w:tcPr>
            <w:tcW w:w="1023" w:type="dxa"/>
            <w:shd w:val="clear" w:color="auto" w:fill="00B050"/>
          </w:tcPr>
          <w:p w14:paraId="18907994" w14:textId="77777777" w:rsidR="00EE4620" w:rsidRPr="00EE4620" w:rsidRDefault="00EE4620" w:rsidP="00EE4620">
            <w:pPr>
              <w:spacing w:after="0" w:line="240" w:lineRule="auto"/>
              <w:rPr>
                <w:rFonts w:ascii="Arial" w:eastAsia="Times New Roman" w:hAnsi="Arial" w:cs="Arial"/>
                <w:b/>
                <w:lang w:eastAsia="en-GB"/>
              </w:rPr>
            </w:pPr>
            <w:r w:rsidRPr="00EE4620">
              <w:rPr>
                <w:rFonts w:ascii="Arial" w:eastAsia="Times New Roman" w:hAnsi="Arial" w:cs="Arial"/>
                <w:b/>
                <w:lang w:eastAsia="en-GB"/>
              </w:rPr>
              <w:t>10%</w:t>
            </w:r>
          </w:p>
        </w:tc>
      </w:tr>
      <w:tr w:rsidR="00EE4620" w:rsidRPr="00EE4620" w14:paraId="1890799A" w14:textId="77777777" w:rsidTr="00E55451">
        <w:tc>
          <w:tcPr>
            <w:tcW w:w="6380" w:type="dxa"/>
            <w:shd w:val="clear" w:color="auto" w:fill="auto"/>
          </w:tcPr>
          <w:p w14:paraId="18907996" w14:textId="77777777" w:rsidR="00EE4620" w:rsidRPr="00EE4620" w:rsidRDefault="00EE4620" w:rsidP="00EE4620">
            <w:pPr>
              <w:spacing w:before="100" w:beforeAutospacing="1" w:after="100" w:afterAutospacing="1" w:line="240" w:lineRule="auto"/>
              <w:ind w:right="60"/>
              <w:rPr>
                <w:rFonts w:ascii="Arial" w:eastAsia="Times New Roman" w:hAnsi="Arial" w:cs="Arial"/>
                <w:lang w:eastAsia="en-GB"/>
              </w:rPr>
            </w:pPr>
            <w:r w:rsidRPr="00EE4620">
              <w:rPr>
                <w:rFonts w:ascii="Arial" w:eastAsia="Times New Roman" w:hAnsi="Arial" w:cs="Arial"/>
                <w:lang w:eastAsia="en-GB"/>
              </w:rPr>
              <w:t xml:space="preserve">The LGA is </w:t>
            </w:r>
            <w:r w:rsidRPr="00EE4620">
              <w:rPr>
                <w:rFonts w:ascii="Arial" w:eastAsia="Times New Roman" w:hAnsi="Arial" w:cs="Arial"/>
                <w:color w:val="000000"/>
                <w:lang w:eastAsia="en-GB"/>
              </w:rPr>
              <w:t xml:space="preserve">transparent and accountable to its members </w:t>
            </w:r>
          </w:p>
        </w:tc>
        <w:tc>
          <w:tcPr>
            <w:tcW w:w="708" w:type="dxa"/>
            <w:shd w:val="clear" w:color="auto" w:fill="auto"/>
          </w:tcPr>
          <w:p w14:paraId="18907997" w14:textId="77777777" w:rsidR="00EE4620" w:rsidRPr="00EE4620" w:rsidRDefault="00EE4620" w:rsidP="00EE4620">
            <w:pPr>
              <w:spacing w:after="0" w:line="240" w:lineRule="auto"/>
              <w:rPr>
                <w:rFonts w:ascii="Arial" w:eastAsia="Times New Roman" w:hAnsi="Arial" w:cs="Arial"/>
                <w:lang w:eastAsia="en-GB"/>
              </w:rPr>
            </w:pPr>
            <w:r w:rsidRPr="00EE4620">
              <w:rPr>
                <w:rFonts w:ascii="Arial" w:eastAsia="Times New Roman" w:hAnsi="Arial" w:cs="Arial"/>
                <w:lang w:eastAsia="en-GB"/>
              </w:rPr>
              <w:t>58%</w:t>
            </w:r>
          </w:p>
        </w:tc>
        <w:tc>
          <w:tcPr>
            <w:tcW w:w="820" w:type="dxa"/>
            <w:shd w:val="clear" w:color="auto" w:fill="auto"/>
          </w:tcPr>
          <w:p w14:paraId="18907998" w14:textId="77777777" w:rsidR="00EE4620" w:rsidRPr="00EE4620" w:rsidRDefault="00EE4620" w:rsidP="00EE4620">
            <w:pPr>
              <w:spacing w:after="0" w:line="240" w:lineRule="auto"/>
              <w:rPr>
                <w:rFonts w:ascii="Arial" w:eastAsia="Times New Roman" w:hAnsi="Arial" w:cs="Arial"/>
                <w:b/>
                <w:lang w:eastAsia="en-GB"/>
              </w:rPr>
            </w:pPr>
            <w:r w:rsidRPr="00EE4620">
              <w:rPr>
                <w:rFonts w:ascii="Arial" w:eastAsia="Times New Roman" w:hAnsi="Arial" w:cs="Arial"/>
                <w:b/>
                <w:lang w:eastAsia="en-GB"/>
              </w:rPr>
              <w:t>66%</w:t>
            </w:r>
          </w:p>
        </w:tc>
        <w:tc>
          <w:tcPr>
            <w:tcW w:w="1023" w:type="dxa"/>
            <w:shd w:val="clear" w:color="auto" w:fill="00B050"/>
          </w:tcPr>
          <w:p w14:paraId="18907999" w14:textId="77777777" w:rsidR="00EE4620" w:rsidRPr="00EE4620" w:rsidRDefault="00EE4620" w:rsidP="00EE4620">
            <w:pPr>
              <w:spacing w:after="0" w:line="240" w:lineRule="auto"/>
              <w:rPr>
                <w:rFonts w:ascii="Arial" w:eastAsia="Times New Roman" w:hAnsi="Arial" w:cs="Arial"/>
                <w:b/>
                <w:lang w:eastAsia="en-GB"/>
              </w:rPr>
            </w:pPr>
            <w:r w:rsidRPr="00EE4620">
              <w:rPr>
                <w:rFonts w:ascii="Arial" w:eastAsia="Times New Roman" w:hAnsi="Arial" w:cs="Arial"/>
                <w:b/>
                <w:lang w:eastAsia="en-GB"/>
              </w:rPr>
              <w:t>+8%</w:t>
            </w:r>
          </w:p>
        </w:tc>
      </w:tr>
      <w:tr w:rsidR="00EE4620" w:rsidRPr="00EE4620" w14:paraId="1890799F" w14:textId="77777777" w:rsidTr="00E55451">
        <w:tc>
          <w:tcPr>
            <w:tcW w:w="6380" w:type="dxa"/>
            <w:shd w:val="clear" w:color="auto" w:fill="auto"/>
          </w:tcPr>
          <w:p w14:paraId="1890799B" w14:textId="77777777" w:rsidR="00EE4620" w:rsidRPr="00EE4620" w:rsidRDefault="00EE4620" w:rsidP="00EE4620">
            <w:pPr>
              <w:spacing w:before="100" w:beforeAutospacing="1" w:after="100" w:afterAutospacing="1" w:line="240" w:lineRule="auto"/>
              <w:ind w:right="60"/>
              <w:rPr>
                <w:rFonts w:ascii="Arial" w:eastAsia="Times New Roman" w:hAnsi="Arial" w:cs="Arial"/>
                <w:lang w:eastAsia="en-GB"/>
              </w:rPr>
            </w:pPr>
            <w:r w:rsidRPr="00EE4620">
              <w:rPr>
                <w:rFonts w:ascii="Arial" w:eastAsia="Times New Roman" w:hAnsi="Arial" w:cs="Arial"/>
                <w:lang w:eastAsia="en-GB"/>
              </w:rPr>
              <w:t xml:space="preserve">The LGA </w:t>
            </w:r>
            <w:r w:rsidRPr="00EE4620">
              <w:rPr>
                <w:rFonts w:ascii="Arial" w:eastAsia="Times New Roman" w:hAnsi="Arial" w:cs="Arial"/>
                <w:color w:val="000000"/>
                <w:lang w:eastAsia="en-GB"/>
              </w:rPr>
              <w:t xml:space="preserve">understands what councils need to help them improve their services and organisational capacity </w:t>
            </w:r>
          </w:p>
        </w:tc>
        <w:tc>
          <w:tcPr>
            <w:tcW w:w="708" w:type="dxa"/>
            <w:shd w:val="clear" w:color="auto" w:fill="auto"/>
          </w:tcPr>
          <w:p w14:paraId="1890799C" w14:textId="77777777" w:rsidR="00EE4620" w:rsidRPr="00EE4620" w:rsidRDefault="00EE4620" w:rsidP="00EE4620">
            <w:pPr>
              <w:spacing w:after="0" w:line="240" w:lineRule="auto"/>
              <w:rPr>
                <w:rFonts w:ascii="Arial" w:eastAsia="Times New Roman" w:hAnsi="Arial" w:cs="Arial"/>
                <w:lang w:eastAsia="en-GB"/>
              </w:rPr>
            </w:pPr>
            <w:r w:rsidRPr="00EE4620">
              <w:rPr>
                <w:rFonts w:ascii="Arial" w:eastAsia="Times New Roman" w:hAnsi="Arial" w:cs="Arial"/>
                <w:lang w:eastAsia="en-GB"/>
              </w:rPr>
              <w:t>68%</w:t>
            </w:r>
          </w:p>
        </w:tc>
        <w:tc>
          <w:tcPr>
            <w:tcW w:w="820" w:type="dxa"/>
            <w:shd w:val="clear" w:color="auto" w:fill="auto"/>
          </w:tcPr>
          <w:p w14:paraId="1890799D" w14:textId="77777777" w:rsidR="00EE4620" w:rsidRPr="00EE4620" w:rsidRDefault="00EE4620" w:rsidP="00EE4620">
            <w:pPr>
              <w:spacing w:after="0" w:line="240" w:lineRule="auto"/>
              <w:rPr>
                <w:rFonts w:ascii="Arial" w:eastAsia="Times New Roman" w:hAnsi="Arial" w:cs="Arial"/>
                <w:b/>
                <w:lang w:eastAsia="en-GB"/>
              </w:rPr>
            </w:pPr>
            <w:r w:rsidRPr="00EE4620">
              <w:rPr>
                <w:rFonts w:ascii="Arial" w:eastAsia="Times New Roman" w:hAnsi="Arial" w:cs="Arial"/>
                <w:b/>
                <w:lang w:eastAsia="en-GB"/>
              </w:rPr>
              <w:t>77%</w:t>
            </w:r>
          </w:p>
        </w:tc>
        <w:tc>
          <w:tcPr>
            <w:tcW w:w="1023" w:type="dxa"/>
            <w:shd w:val="clear" w:color="auto" w:fill="00B050"/>
          </w:tcPr>
          <w:p w14:paraId="1890799E" w14:textId="77777777" w:rsidR="00EE4620" w:rsidRPr="00EE4620" w:rsidRDefault="00EE4620" w:rsidP="00EE4620">
            <w:pPr>
              <w:spacing w:after="0" w:line="240" w:lineRule="auto"/>
              <w:rPr>
                <w:rFonts w:ascii="Arial" w:eastAsia="Times New Roman" w:hAnsi="Arial" w:cs="Arial"/>
                <w:b/>
                <w:lang w:eastAsia="en-GB"/>
              </w:rPr>
            </w:pPr>
            <w:r w:rsidRPr="00EE4620">
              <w:rPr>
                <w:rFonts w:ascii="Arial" w:eastAsia="Times New Roman" w:hAnsi="Arial" w:cs="Arial"/>
                <w:b/>
                <w:lang w:eastAsia="en-GB"/>
              </w:rPr>
              <w:t>+9%</w:t>
            </w:r>
          </w:p>
        </w:tc>
      </w:tr>
      <w:tr w:rsidR="00EE4620" w:rsidRPr="00EE4620" w14:paraId="189079A4" w14:textId="77777777" w:rsidTr="00E55451">
        <w:tc>
          <w:tcPr>
            <w:tcW w:w="6380" w:type="dxa"/>
            <w:shd w:val="clear" w:color="auto" w:fill="auto"/>
          </w:tcPr>
          <w:p w14:paraId="189079A0" w14:textId="77777777" w:rsidR="00EE4620" w:rsidRPr="00EE4620" w:rsidRDefault="00EE4620" w:rsidP="00EE4620">
            <w:pPr>
              <w:spacing w:after="0" w:line="240" w:lineRule="auto"/>
              <w:rPr>
                <w:rFonts w:ascii="Arial" w:eastAsia="Times New Roman" w:hAnsi="Arial" w:cs="Arial"/>
                <w:lang w:eastAsia="en-GB"/>
              </w:rPr>
            </w:pPr>
            <w:r w:rsidRPr="00EE4620">
              <w:rPr>
                <w:rFonts w:ascii="Arial" w:eastAsia="Times New Roman" w:hAnsi="Arial" w:cs="Times New Roman"/>
                <w:lang w:eastAsia="en-GB"/>
              </w:rPr>
              <w:t xml:space="preserve">I know ‘a fair amount’ or ‘a great deal’ about the LGA.  </w:t>
            </w:r>
          </w:p>
        </w:tc>
        <w:tc>
          <w:tcPr>
            <w:tcW w:w="708" w:type="dxa"/>
            <w:shd w:val="clear" w:color="auto" w:fill="auto"/>
          </w:tcPr>
          <w:p w14:paraId="189079A1" w14:textId="77777777" w:rsidR="00EE4620" w:rsidRPr="00EE4620" w:rsidRDefault="00EE4620" w:rsidP="00EE4620">
            <w:pPr>
              <w:spacing w:after="0" w:line="240" w:lineRule="auto"/>
              <w:rPr>
                <w:rFonts w:ascii="Arial" w:eastAsia="Times New Roman" w:hAnsi="Arial" w:cs="Arial"/>
                <w:lang w:eastAsia="en-GB"/>
              </w:rPr>
            </w:pPr>
            <w:r w:rsidRPr="00EE4620">
              <w:rPr>
                <w:rFonts w:ascii="Arial" w:eastAsia="Times New Roman" w:hAnsi="Arial" w:cs="Arial"/>
                <w:lang w:eastAsia="en-GB"/>
              </w:rPr>
              <w:t>61%</w:t>
            </w:r>
          </w:p>
        </w:tc>
        <w:tc>
          <w:tcPr>
            <w:tcW w:w="820" w:type="dxa"/>
            <w:shd w:val="clear" w:color="auto" w:fill="auto"/>
          </w:tcPr>
          <w:p w14:paraId="189079A2" w14:textId="77777777" w:rsidR="00EE4620" w:rsidRPr="00EE4620" w:rsidRDefault="00EE4620" w:rsidP="00EE4620">
            <w:pPr>
              <w:spacing w:after="0" w:line="240" w:lineRule="auto"/>
              <w:rPr>
                <w:rFonts w:ascii="Arial" w:eastAsia="Times New Roman" w:hAnsi="Arial" w:cs="Arial"/>
                <w:b/>
                <w:lang w:eastAsia="en-GB"/>
              </w:rPr>
            </w:pPr>
            <w:r w:rsidRPr="00EE4620">
              <w:rPr>
                <w:rFonts w:ascii="Arial" w:eastAsia="Times New Roman" w:hAnsi="Arial" w:cs="Arial"/>
                <w:b/>
                <w:lang w:eastAsia="en-GB"/>
              </w:rPr>
              <w:t>72%</w:t>
            </w:r>
          </w:p>
        </w:tc>
        <w:tc>
          <w:tcPr>
            <w:tcW w:w="1023" w:type="dxa"/>
            <w:shd w:val="clear" w:color="auto" w:fill="00B050"/>
          </w:tcPr>
          <w:p w14:paraId="189079A3" w14:textId="77777777" w:rsidR="00EE4620" w:rsidRPr="00EE4620" w:rsidRDefault="00EE4620" w:rsidP="00EE4620">
            <w:pPr>
              <w:spacing w:after="0" w:line="240" w:lineRule="auto"/>
              <w:rPr>
                <w:rFonts w:ascii="Arial" w:eastAsia="Times New Roman" w:hAnsi="Arial" w:cs="Arial"/>
                <w:b/>
                <w:lang w:eastAsia="en-GB"/>
              </w:rPr>
            </w:pPr>
            <w:r w:rsidRPr="00EE4620">
              <w:rPr>
                <w:rFonts w:ascii="Arial" w:eastAsia="Times New Roman" w:hAnsi="Arial" w:cs="Arial"/>
                <w:b/>
                <w:lang w:eastAsia="en-GB"/>
              </w:rPr>
              <w:t>+11%</w:t>
            </w:r>
          </w:p>
        </w:tc>
      </w:tr>
      <w:tr w:rsidR="00EE4620" w:rsidRPr="00EE4620" w14:paraId="189079A9" w14:textId="77777777" w:rsidTr="00E55451">
        <w:tc>
          <w:tcPr>
            <w:tcW w:w="6380" w:type="dxa"/>
            <w:shd w:val="clear" w:color="auto" w:fill="auto"/>
          </w:tcPr>
          <w:p w14:paraId="189079A5" w14:textId="77777777" w:rsidR="00EE4620" w:rsidRPr="00EE4620" w:rsidRDefault="00EE4620" w:rsidP="00EE4620">
            <w:pPr>
              <w:spacing w:after="0" w:line="240" w:lineRule="auto"/>
              <w:rPr>
                <w:rFonts w:ascii="Arial" w:eastAsia="Times New Roman" w:hAnsi="Arial" w:cs="Arial"/>
                <w:lang w:eastAsia="en-GB"/>
              </w:rPr>
            </w:pPr>
            <w:r w:rsidRPr="00EE4620">
              <w:rPr>
                <w:rFonts w:ascii="Arial" w:eastAsia="Times New Roman" w:hAnsi="Arial" w:cs="Arial"/>
                <w:lang w:eastAsia="en-GB"/>
              </w:rPr>
              <w:t>How well informed do you feel about the work of the LGA</w:t>
            </w:r>
          </w:p>
        </w:tc>
        <w:tc>
          <w:tcPr>
            <w:tcW w:w="708" w:type="dxa"/>
            <w:shd w:val="clear" w:color="auto" w:fill="auto"/>
          </w:tcPr>
          <w:p w14:paraId="189079A6" w14:textId="77777777" w:rsidR="00EE4620" w:rsidRPr="00EE4620" w:rsidRDefault="00EE4620" w:rsidP="00EE4620">
            <w:pPr>
              <w:spacing w:after="0" w:line="240" w:lineRule="auto"/>
              <w:rPr>
                <w:rFonts w:ascii="Arial" w:eastAsia="Times New Roman" w:hAnsi="Arial" w:cs="Arial"/>
                <w:lang w:eastAsia="en-GB"/>
              </w:rPr>
            </w:pPr>
            <w:r w:rsidRPr="00EE4620">
              <w:rPr>
                <w:rFonts w:ascii="Arial" w:eastAsia="Times New Roman" w:hAnsi="Arial" w:cs="Arial"/>
                <w:lang w:eastAsia="en-GB"/>
              </w:rPr>
              <w:t>69%</w:t>
            </w:r>
          </w:p>
        </w:tc>
        <w:tc>
          <w:tcPr>
            <w:tcW w:w="820" w:type="dxa"/>
            <w:shd w:val="clear" w:color="auto" w:fill="auto"/>
          </w:tcPr>
          <w:p w14:paraId="189079A7" w14:textId="77777777" w:rsidR="00EE4620" w:rsidRPr="00EE4620" w:rsidRDefault="00EE4620" w:rsidP="00EE4620">
            <w:pPr>
              <w:spacing w:after="0" w:line="240" w:lineRule="auto"/>
              <w:rPr>
                <w:rFonts w:ascii="Arial" w:eastAsia="Times New Roman" w:hAnsi="Arial" w:cs="Arial"/>
                <w:b/>
                <w:lang w:eastAsia="en-GB"/>
              </w:rPr>
            </w:pPr>
            <w:r w:rsidRPr="00EE4620">
              <w:rPr>
                <w:rFonts w:ascii="Arial" w:eastAsia="Times New Roman" w:hAnsi="Arial" w:cs="Arial"/>
                <w:b/>
                <w:lang w:eastAsia="en-GB"/>
              </w:rPr>
              <w:t>77%</w:t>
            </w:r>
          </w:p>
        </w:tc>
        <w:tc>
          <w:tcPr>
            <w:tcW w:w="1023" w:type="dxa"/>
            <w:shd w:val="clear" w:color="auto" w:fill="00B050"/>
          </w:tcPr>
          <w:p w14:paraId="189079A8" w14:textId="77777777" w:rsidR="00EE4620" w:rsidRPr="00EE4620" w:rsidRDefault="00EE4620" w:rsidP="00EE4620">
            <w:pPr>
              <w:spacing w:after="0" w:line="240" w:lineRule="auto"/>
              <w:rPr>
                <w:rFonts w:ascii="Arial" w:eastAsia="Times New Roman" w:hAnsi="Arial" w:cs="Arial"/>
                <w:b/>
                <w:lang w:eastAsia="en-GB"/>
              </w:rPr>
            </w:pPr>
            <w:r w:rsidRPr="00EE4620">
              <w:rPr>
                <w:rFonts w:ascii="Arial" w:eastAsia="Times New Roman" w:hAnsi="Arial" w:cs="Arial"/>
                <w:b/>
                <w:lang w:eastAsia="en-GB"/>
              </w:rPr>
              <w:t>+8%</w:t>
            </w:r>
          </w:p>
        </w:tc>
      </w:tr>
    </w:tbl>
    <w:p w14:paraId="189079AA" w14:textId="77777777" w:rsidR="00EE4620" w:rsidRPr="00EE4620" w:rsidRDefault="00EE4620" w:rsidP="00EE4620">
      <w:pPr>
        <w:spacing w:after="0" w:line="240" w:lineRule="auto"/>
        <w:rPr>
          <w:rFonts w:ascii="Arial" w:eastAsia="Times New Roman" w:hAnsi="Arial" w:cs="Arial"/>
          <w:lang w:eastAsia="en-GB"/>
        </w:rPr>
      </w:pPr>
    </w:p>
    <w:p w14:paraId="189079AB" w14:textId="77777777" w:rsidR="00EE4620" w:rsidRPr="00EE4620" w:rsidRDefault="00EE4620" w:rsidP="00EE4620">
      <w:pPr>
        <w:numPr>
          <w:ilvl w:val="0"/>
          <w:numId w:val="3"/>
        </w:numPr>
        <w:spacing w:before="120" w:after="360" w:line="240" w:lineRule="auto"/>
        <w:ind w:left="567" w:hanging="567"/>
        <w:contextualSpacing/>
        <w:rPr>
          <w:rFonts w:ascii="Arial" w:eastAsia="Arial" w:hAnsi="Arial" w:cs="Arial"/>
        </w:rPr>
      </w:pPr>
      <w:r w:rsidRPr="00EE4620">
        <w:rPr>
          <w:rFonts w:ascii="Arial" w:eastAsia="Arial" w:hAnsi="Arial" w:cs="Arial"/>
        </w:rPr>
        <w:t xml:space="preserve">There continues to be a high level of knowledge and awareness </w:t>
      </w:r>
      <w:r w:rsidRPr="00EE4620">
        <w:rPr>
          <w:rFonts w:ascii="Arial" w:eastAsia="Arial" w:hAnsi="Arial" w:cs="Arial"/>
          <w:b/>
        </w:rPr>
        <w:t>(72 per cent)</w:t>
      </w:r>
      <w:r w:rsidRPr="00EE4620">
        <w:rPr>
          <w:rFonts w:ascii="Arial" w:eastAsia="Arial" w:hAnsi="Arial" w:cs="Arial"/>
        </w:rPr>
        <w:t xml:space="preserve"> of the LGA and satisfaction with the work we undertake </w:t>
      </w:r>
      <w:r w:rsidRPr="00EE4620">
        <w:rPr>
          <w:rFonts w:ascii="Arial" w:eastAsia="Arial" w:hAnsi="Arial" w:cs="Arial"/>
          <w:b/>
        </w:rPr>
        <w:t>(70 per cent)</w:t>
      </w:r>
      <w:r w:rsidRPr="00EE4620">
        <w:rPr>
          <w:rFonts w:ascii="Arial" w:eastAsia="Arial" w:hAnsi="Arial" w:cs="Arial"/>
        </w:rPr>
        <w:t xml:space="preserve">.  In response to questions about our overall reputation, a high proportion of respondents </w:t>
      </w:r>
      <w:r w:rsidRPr="00EE4620">
        <w:rPr>
          <w:rFonts w:ascii="Arial" w:eastAsia="Arial" w:hAnsi="Arial" w:cs="Arial"/>
          <w:b/>
        </w:rPr>
        <w:t>(73 per cent)</w:t>
      </w:r>
      <w:r w:rsidRPr="00EE4620">
        <w:rPr>
          <w:rFonts w:ascii="Arial" w:eastAsia="Arial" w:hAnsi="Arial" w:cs="Arial"/>
        </w:rPr>
        <w:t xml:space="preserve"> would speak positively about the LGA.</w:t>
      </w:r>
    </w:p>
    <w:p w14:paraId="189079AC" w14:textId="77777777" w:rsidR="00EE4620" w:rsidRPr="00EE4620" w:rsidRDefault="00EE4620" w:rsidP="00EE4620">
      <w:pPr>
        <w:spacing w:before="120" w:after="360" w:line="240" w:lineRule="auto"/>
        <w:ind w:left="567"/>
        <w:contextualSpacing/>
        <w:rPr>
          <w:rFonts w:ascii="Arial" w:eastAsia="Arial" w:hAnsi="Arial" w:cs="Arial"/>
        </w:rPr>
      </w:pPr>
    </w:p>
    <w:p w14:paraId="189079AD" w14:textId="77777777" w:rsidR="00EE4620" w:rsidRPr="00EE4620" w:rsidRDefault="00EE4620" w:rsidP="00EE4620">
      <w:pPr>
        <w:numPr>
          <w:ilvl w:val="0"/>
          <w:numId w:val="3"/>
        </w:numPr>
        <w:spacing w:before="120" w:after="360" w:line="240" w:lineRule="auto"/>
        <w:ind w:left="567" w:hanging="567"/>
        <w:contextualSpacing/>
        <w:rPr>
          <w:rFonts w:ascii="Arial" w:eastAsia="Arial" w:hAnsi="Arial" w:cs="Arial"/>
        </w:rPr>
      </w:pPr>
      <w:r w:rsidRPr="00EE4620">
        <w:rPr>
          <w:rFonts w:ascii="Arial" w:eastAsia="Arial" w:hAnsi="Arial" w:cs="Arial"/>
        </w:rPr>
        <w:t>The majority of respondents (</w:t>
      </w:r>
      <w:r w:rsidRPr="00EE4620">
        <w:rPr>
          <w:rFonts w:ascii="Arial" w:eastAsia="Arial" w:hAnsi="Arial" w:cs="Arial"/>
          <w:b/>
        </w:rPr>
        <w:t>81 per cent)</w:t>
      </w:r>
      <w:r w:rsidRPr="00EE4620">
        <w:rPr>
          <w:rFonts w:ascii="Arial" w:eastAsia="Arial" w:hAnsi="Arial" w:cs="Arial"/>
        </w:rPr>
        <w:t xml:space="preserve"> also believe we are an effective advocate for the sector.</w:t>
      </w:r>
    </w:p>
    <w:p w14:paraId="189079AE" w14:textId="77777777" w:rsidR="00EE4620" w:rsidRPr="00EE4620" w:rsidRDefault="00EE4620" w:rsidP="00EE4620">
      <w:pPr>
        <w:spacing w:before="120" w:after="360" w:line="240" w:lineRule="auto"/>
        <w:ind w:left="567"/>
        <w:contextualSpacing/>
        <w:rPr>
          <w:rFonts w:ascii="Arial" w:eastAsia="Arial" w:hAnsi="Arial" w:cs="Arial"/>
        </w:rPr>
      </w:pPr>
      <w:r w:rsidRPr="00EE4620">
        <w:rPr>
          <w:rFonts w:ascii="Arial" w:eastAsia="Arial" w:hAnsi="Arial" w:cs="Arial"/>
        </w:rPr>
        <w:br w:type="page"/>
      </w:r>
    </w:p>
    <w:p w14:paraId="1D4872CC" w14:textId="77777777" w:rsidR="002119A4" w:rsidRDefault="00EE4620" w:rsidP="002119A4">
      <w:pPr>
        <w:numPr>
          <w:ilvl w:val="0"/>
          <w:numId w:val="3"/>
        </w:numPr>
        <w:spacing w:before="120" w:after="360" w:line="240" w:lineRule="auto"/>
        <w:ind w:left="567" w:hanging="567"/>
        <w:contextualSpacing/>
        <w:rPr>
          <w:rFonts w:ascii="Arial" w:eastAsia="Arial" w:hAnsi="Arial" w:cs="Arial"/>
        </w:rPr>
      </w:pPr>
      <w:r w:rsidRPr="00EE4620">
        <w:rPr>
          <w:rFonts w:ascii="Arial" w:eastAsia="Arial" w:hAnsi="Arial" w:cs="Arial"/>
        </w:rPr>
        <w:lastRenderedPageBreak/>
        <w:t>Respondents rated the following activities as ‘</w:t>
      </w:r>
      <w:r w:rsidRPr="00EE4620">
        <w:rPr>
          <w:rFonts w:ascii="Arial" w:eastAsia="Arial" w:hAnsi="Arial" w:cs="Arial"/>
          <w:i/>
        </w:rPr>
        <w:t>very or fairly important</w:t>
      </w:r>
      <w:r w:rsidRPr="00EE4620">
        <w:rPr>
          <w:rFonts w:ascii="Arial" w:eastAsia="Arial" w:hAnsi="Arial" w:cs="Arial"/>
        </w:rPr>
        <w:t>’:</w:t>
      </w:r>
    </w:p>
    <w:p w14:paraId="706FE3F5" w14:textId="7F68B01B" w:rsidR="002119A4" w:rsidRDefault="00EE4620" w:rsidP="002119A4">
      <w:pPr>
        <w:spacing w:before="120" w:after="360" w:line="240" w:lineRule="auto"/>
        <w:contextualSpacing/>
        <w:rPr>
          <w:rFonts w:ascii="Arial" w:eastAsia="Arial" w:hAnsi="Arial" w:cs="Arial"/>
        </w:rPr>
      </w:pPr>
      <w:r w:rsidRPr="00EE4620">
        <w:rPr>
          <w:rFonts w:ascii="Arial" w:eastAsia="Arial" w:hAnsi="Arial" w:cs="Arial"/>
        </w:rPr>
        <w:t xml:space="preserve">  </w:t>
      </w:r>
    </w:p>
    <w:p w14:paraId="492AB373" w14:textId="77777777" w:rsidR="002119A4" w:rsidRDefault="00EE4620" w:rsidP="00085821">
      <w:pPr>
        <w:numPr>
          <w:ilvl w:val="1"/>
          <w:numId w:val="3"/>
        </w:numPr>
        <w:spacing w:before="120" w:after="360" w:line="240" w:lineRule="auto"/>
        <w:ind w:left="1208" w:hanging="641"/>
        <w:contextualSpacing/>
        <w:rPr>
          <w:rFonts w:ascii="Arial" w:eastAsia="Arial" w:hAnsi="Arial" w:cs="Arial"/>
        </w:rPr>
      </w:pPr>
      <w:r w:rsidRPr="002119A4">
        <w:rPr>
          <w:rFonts w:ascii="Arial" w:eastAsia="Arial" w:hAnsi="Arial" w:cs="Arial"/>
        </w:rPr>
        <w:t xml:space="preserve">Providing a single voice for local government </w:t>
      </w:r>
      <w:r w:rsidRPr="002119A4">
        <w:rPr>
          <w:rFonts w:ascii="Arial" w:eastAsia="Arial" w:hAnsi="Arial" w:cs="Arial"/>
          <w:b/>
        </w:rPr>
        <w:t>(94 per cent).</w:t>
      </w:r>
    </w:p>
    <w:p w14:paraId="3CD4792E" w14:textId="77777777" w:rsidR="002119A4" w:rsidRDefault="00EE4620" w:rsidP="00085821">
      <w:pPr>
        <w:numPr>
          <w:ilvl w:val="1"/>
          <w:numId w:val="3"/>
        </w:numPr>
        <w:spacing w:before="120" w:after="360" w:line="240" w:lineRule="auto"/>
        <w:ind w:left="1208" w:hanging="641"/>
        <w:contextualSpacing/>
        <w:rPr>
          <w:rFonts w:ascii="Arial" w:eastAsia="Arial" w:hAnsi="Arial" w:cs="Arial"/>
        </w:rPr>
      </w:pPr>
      <w:r w:rsidRPr="002119A4">
        <w:rPr>
          <w:rFonts w:ascii="Arial" w:eastAsia="Arial" w:hAnsi="Arial" w:cs="Arial"/>
        </w:rPr>
        <w:t xml:space="preserve">Managing local government’s reputation in the national media </w:t>
      </w:r>
      <w:r w:rsidR="002119A4" w:rsidRPr="002119A4">
        <w:rPr>
          <w:rFonts w:ascii="Arial" w:eastAsia="Arial" w:hAnsi="Arial" w:cs="Arial"/>
          <w:b/>
        </w:rPr>
        <w:t xml:space="preserve">(93 per </w:t>
      </w:r>
      <w:r w:rsidRPr="002119A4">
        <w:rPr>
          <w:rFonts w:ascii="Arial" w:eastAsia="Arial" w:hAnsi="Arial" w:cs="Arial"/>
          <w:b/>
        </w:rPr>
        <w:t>cent)</w:t>
      </w:r>
      <w:r w:rsidRPr="002119A4">
        <w:rPr>
          <w:rFonts w:ascii="Arial" w:eastAsia="Arial" w:hAnsi="Arial" w:cs="Arial"/>
        </w:rPr>
        <w:t>.</w:t>
      </w:r>
    </w:p>
    <w:p w14:paraId="45C0AC3F" w14:textId="77777777" w:rsidR="002119A4" w:rsidRDefault="00EE4620" w:rsidP="00085821">
      <w:pPr>
        <w:numPr>
          <w:ilvl w:val="1"/>
          <w:numId w:val="3"/>
        </w:numPr>
        <w:spacing w:before="120" w:after="360" w:line="240" w:lineRule="auto"/>
        <w:ind w:left="1208" w:hanging="641"/>
        <w:contextualSpacing/>
        <w:rPr>
          <w:rFonts w:ascii="Arial" w:eastAsia="Arial" w:hAnsi="Arial" w:cs="Arial"/>
        </w:rPr>
      </w:pPr>
      <w:r w:rsidRPr="002119A4">
        <w:rPr>
          <w:rFonts w:ascii="Arial" w:eastAsia="Arial" w:hAnsi="Arial" w:cs="Arial"/>
        </w:rPr>
        <w:t xml:space="preserve">Supporting and promoting councils which are </w:t>
      </w:r>
      <w:r w:rsidR="002119A4" w:rsidRPr="002119A4">
        <w:rPr>
          <w:rFonts w:ascii="Arial" w:eastAsia="Arial" w:hAnsi="Arial" w:cs="Arial"/>
        </w:rPr>
        <w:t xml:space="preserve">trying to transform services to </w:t>
      </w:r>
      <w:r w:rsidRPr="002119A4">
        <w:rPr>
          <w:rFonts w:ascii="Arial" w:eastAsia="Arial" w:hAnsi="Arial" w:cs="Arial"/>
        </w:rPr>
        <w:t xml:space="preserve">better support their communities </w:t>
      </w:r>
      <w:r w:rsidRPr="002119A4">
        <w:rPr>
          <w:rFonts w:ascii="Arial" w:eastAsia="Arial" w:hAnsi="Arial" w:cs="Arial"/>
          <w:b/>
        </w:rPr>
        <w:t>(92 per cent)</w:t>
      </w:r>
      <w:r w:rsidRPr="002119A4">
        <w:rPr>
          <w:rFonts w:ascii="Arial" w:eastAsia="Arial" w:hAnsi="Arial" w:cs="Arial"/>
        </w:rPr>
        <w:t>.</w:t>
      </w:r>
    </w:p>
    <w:p w14:paraId="189079B4" w14:textId="0B9CCFF2" w:rsidR="00EE4620" w:rsidRPr="002119A4" w:rsidRDefault="00EE4620" w:rsidP="00085821">
      <w:pPr>
        <w:numPr>
          <w:ilvl w:val="1"/>
          <w:numId w:val="3"/>
        </w:numPr>
        <w:spacing w:before="120" w:after="360" w:line="240" w:lineRule="auto"/>
        <w:ind w:left="1208" w:hanging="641"/>
        <w:contextualSpacing/>
        <w:rPr>
          <w:rFonts w:ascii="Arial" w:eastAsia="Arial" w:hAnsi="Arial" w:cs="Arial"/>
        </w:rPr>
      </w:pPr>
      <w:r w:rsidRPr="002119A4">
        <w:rPr>
          <w:rFonts w:ascii="Arial" w:eastAsia="Arial" w:hAnsi="Arial" w:cs="Arial"/>
        </w:rPr>
        <w:t xml:space="preserve">Providing support and challenge for councils to improve </w:t>
      </w:r>
      <w:r w:rsidRPr="002119A4">
        <w:rPr>
          <w:rFonts w:ascii="Arial" w:eastAsia="Arial" w:hAnsi="Arial" w:cs="Arial"/>
          <w:b/>
        </w:rPr>
        <w:t>(91 per cent)</w:t>
      </w:r>
      <w:r w:rsidRPr="002119A4">
        <w:rPr>
          <w:rFonts w:ascii="Arial" w:eastAsia="Arial" w:hAnsi="Arial" w:cs="Arial"/>
        </w:rPr>
        <w:t>.</w:t>
      </w:r>
    </w:p>
    <w:p w14:paraId="189079B5" w14:textId="77777777" w:rsidR="00EE4620" w:rsidRPr="00EE4620" w:rsidRDefault="00EE4620" w:rsidP="00EE4620">
      <w:pPr>
        <w:spacing w:before="120" w:after="360" w:line="240" w:lineRule="auto"/>
        <w:ind w:left="567"/>
        <w:contextualSpacing/>
        <w:rPr>
          <w:rFonts w:ascii="Arial" w:eastAsia="Arial" w:hAnsi="Arial" w:cs="Arial"/>
        </w:rPr>
      </w:pPr>
    </w:p>
    <w:p w14:paraId="189079B6" w14:textId="77777777" w:rsidR="00EE4620" w:rsidRPr="00EE4620" w:rsidRDefault="00EE4620" w:rsidP="00EE4620">
      <w:pPr>
        <w:numPr>
          <w:ilvl w:val="0"/>
          <w:numId w:val="3"/>
        </w:numPr>
        <w:spacing w:before="120" w:after="360" w:line="240" w:lineRule="auto"/>
        <w:ind w:left="567" w:hanging="567"/>
        <w:contextualSpacing/>
        <w:rPr>
          <w:rFonts w:ascii="Arial" w:eastAsia="Arial" w:hAnsi="Arial" w:cs="Arial"/>
        </w:rPr>
      </w:pPr>
      <w:r w:rsidRPr="00EE4620">
        <w:rPr>
          <w:rFonts w:ascii="Arial" w:eastAsia="Arial" w:hAnsi="Arial" w:cs="Arial"/>
        </w:rPr>
        <w:t>All of these have seen increases since 2012.</w:t>
      </w:r>
    </w:p>
    <w:p w14:paraId="189079B7" w14:textId="77777777" w:rsidR="00EE4620" w:rsidRPr="00EE4620" w:rsidRDefault="00EE4620" w:rsidP="00EE4620">
      <w:pPr>
        <w:spacing w:before="120" w:after="360" w:line="240" w:lineRule="auto"/>
        <w:ind w:left="567"/>
        <w:contextualSpacing/>
        <w:rPr>
          <w:rFonts w:ascii="Arial" w:eastAsia="Arial" w:hAnsi="Arial" w:cs="Arial"/>
        </w:rPr>
      </w:pPr>
    </w:p>
    <w:p w14:paraId="189079B8" w14:textId="77777777" w:rsidR="00EE4620" w:rsidRPr="00EE4620" w:rsidRDefault="00EE4620" w:rsidP="00EE4620">
      <w:pPr>
        <w:numPr>
          <w:ilvl w:val="0"/>
          <w:numId w:val="3"/>
        </w:numPr>
        <w:spacing w:before="120" w:after="360" w:line="240" w:lineRule="auto"/>
        <w:ind w:left="567" w:hanging="567"/>
        <w:contextualSpacing/>
        <w:rPr>
          <w:rFonts w:ascii="Arial" w:eastAsia="Arial" w:hAnsi="Arial" w:cs="Arial"/>
        </w:rPr>
      </w:pPr>
      <w:r w:rsidRPr="00EE4620">
        <w:rPr>
          <w:rFonts w:ascii="Arial" w:eastAsia="Arial" w:hAnsi="Arial" w:cs="Arial"/>
        </w:rPr>
        <w:t xml:space="preserve">Two thirds of respondents agree that sector-led improvement is the right approach in the current context.  This shows a slight increase (from 58 per cent to </w:t>
      </w:r>
      <w:r w:rsidRPr="00EE4620">
        <w:rPr>
          <w:rFonts w:ascii="Arial" w:eastAsia="Arial" w:hAnsi="Arial" w:cs="Arial"/>
          <w:b/>
        </w:rPr>
        <w:t>62 per cent</w:t>
      </w:r>
      <w:r w:rsidRPr="00EE4620">
        <w:rPr>
          <w:rFonts w:ascii="Arial" w:eastAsia="Arial" w:hAnsi="Arial" w:cs="Arial"/>
        </w:rPr>
        <w:t>) on the 2012 figures.</w:t>
      </w:r>
    </w:p>
    <w:p w14:paraId="189079B9" w14:textId="77777777" w:rsidR="00EE4620" w:rsidRPr="00EE4620" w:rsidRDefault="00EE4620" w:rsidP="00EE4620">
      <w:pPr>
        <w:spacing w:before="120" w:after="360"/>
        <w:ind w:left="360"/>
        <w:contextualSpacing/>
        <w:rPr>
          <w:rFonts w:ascii="Arial" w:eastAsia="Arial" w:hAnsi="Arial" w:cs="Arial"/>
        </w:rPr>
      </w:pPr>
    </w:p>
    <w:p w14:paraId="189079BA" w14:textId="77777777" w:rsidR="00EE4620" w:rsidRPr="00EE4620" w:rsidRDefault="00EE4620" w:rsidP="00EE4620">
      <w:pPr>
        <w:numPr>
          <w:ilvl w:val="0"/>
          <w:numId w:val="3"/>
        </w:numPr>
        <w:spacing w:before="120" w:after="360" w:line="240" w:lineRule="auto"/>
        <w:ind w:left="567" w:hanging="567"/>
        <w:contextualSpacing/>
        <w:rPr>
          <w:rFonts w:ascii="Arial" w:eastAsia="Arial" w:hAnsi="Arial" w:cs="Arial"/>
        </w:rPr>
      </w:pPr>
      <w:r w:rsidRPr="00EE4620">
        <w:rPr>
          <w:rFonts w:ascii="Arial" w:eastAsia="Arial" w:hAnsi="Arial" w:cs="Arial"/>
        </w:rPr>
        <w:t xml:space="preserve">There are some regional variations in responses to individual questions but across the full range of questions the findings are fairly consistent in all parts of the country.  </w:t>
      </w:r>
    </w:p>
    <w:p w14:paraId="189079BB" w14:textId="77777777" w:rsidR="00EE4620" w:rsidRPr="00EE4620" w:rsidRDefault="00EE4620" w:rsidP="00EE4620">
      <w:pPr>
        <w:spacing w:before="120" w:after="360"/>
        <w:ind w:left="360"/>
        <w:contextualSpacing/>
        <w:rPr>
          <w:rFonts w:ascii="Arial" w:eastAsia="Arial" w:hAnsi="Arial" w:cs="Arial"/>
        </w:rPr>
      </w:pPr>
    </w:p>
    <w:p w14:paraId="189079BC" w14:textId="77777777" w:rsidR="00EE4620" w:rsidRPr="00EE4620" w:rsidRDefault="00EE4620" w:rsidP="00EE4620">
      <w:pPr>
        <w:numPr>
          <w:ilvl w:val="0"/>
          <w:numId w:val="3"/>
        </w:numPr>
        <w:spacing w:before="120" w:after="360" w:line="240" w:lineRule="auto"/>
        <w:ind w:left="567" w:hanging="567"/>
        <w:contextualSpacing/>
        <w:rPr>
          <w:rFonts w:ascii="Arial" w:eastAsia="Arial" w:hAnsi="Arial" w:cs="Arial"/>
        </w:rPr>
      </w:pPr>
      <w:r w:rsidRPr="00EE4620">
        <w:rPr>
          <w:rFonts w:ascii="Arial" w:eastAsia="Arial" w:hAnsi="Arial" w:cs="Arial"/>
        </w:rPr>
        <w:t>Council leaders and chief executives are more likely to know more about the detail of what we offer and more likely to be satisfied.  Two thirds of respondents say they benefit from being members of the LGA.  Again, this is higher amongst leaders and chief executives than it is for backbench councillors, chairs of scrutiny and directors.</w:t>
      </w:r>
    </w:p>
    <w:p w14:paraId="189079BD" w14:textId="77777777" w:rsidR="00EE4620" w:rsidRPr="00EE4620" w:rsidRDefault="00EE4620" w:rsidP="00EE4620">
      <w:pPr>
        <w:spacing w:before="120" w:after="360"/>
        <w:ind w:left="360"/>
        <w:contextualSpacing/>
        <w:rPr>
          <w:rFonts w:ascii="Arial" w:eastAsia="Arial" w:hAnsi="Arial" w:cs="Arial"/>
        </w:rPr>
      </w:pPr>
    </w:p>
    <w:p w14:paraId="189079BE" w14:textId="77777777" w:rsidR="00EE4620" w:rsidRDefault="00EE4620" w:rsidP="00EE4620">
      <w:pPr>
        <w:numPr>
          <w:ilvl w:val="0"/>
          <w:numId w:val="3"/>
        </w:numPr>
        <w:spacing w:before="120" w:after="360" w:line="240" w:lineRule="auto"/>
        <w:ind w:left="567" w:hanging="567"/>
        <w:contextualSpacing/>
        <w:rPr>
          <w:rFonts w:ascii="Arial" w:eastAsia="Arial" w:hAnsi="Arial" w:cs="Arial"/>
        </w:rPr>
      </w:pPr>
      <w:r w:rsidRPr="00EE4620">
        <w:rPr>
          <w:rFonts w:ascii="Arial" w:eastAsia="Arial" w:hAnsi="Arial" w:cs="Arial"/>
        </w:rPr>
        <w:t xml:space="preserve">In terms of political groupings, there are very few differences.  Labour respondents are more likely to feel engaged with the LGA and Conservative respondents are more likely to agree their council is making advances in driving improvement. </w:t>
      </w:r>
    </w:p>
    <w:p w14:paraId="189079BF" w14:textId="77777777" w:rsidR="00EE4620" w:rsidRPr="00EE4620" w:rsidRDefault="00EE4620" w:rsidP="00EE4620">
      <w:pPr>
        <w:spacing w:before="120" w:after="360" w:line="240" w:lineRule="auto"/>
        <w:ind w:left="567"/>
        <w:contextualSpacing/>
        <w:rPr>
          <w:rFonts w:ascii="Arial" w:eastAsia="Arial" w:hAnsi="Arial" w:cs="Arial"/>
        </w:rPr>
      </w:pPr>
    </w:p>
    <w:p w14:paraId="189079C0" w14:textId="77777777" w:rsidR="00EE4620" w:rsidRPr="00EE4620" w:rsidRDefault="00EE4620" w:rsidP="00EE4620">
      <w:pPr>
        <w:spacing w:after="0" w:line="240" w:lineRule="auto"/>
        <w:rPr>
          <w:rFonts w:ascii="Arial" w:eastAsia="Times New Roman" w:hAnsi="Arial" w:cs="Times New Roman"/>
          <w:b/>
          <w:lang w:eastAsia="en-GB"/>
        </w:rPr>
      </w:pPr>
      <w:r w:rsidRPr="00EE4620">
        <w:rPr>
          <w:rFonts w:ascii="Arial" w:eastAsia="Times New Roman" w:hAnsi="Arial" w:cs="Times New Roman"/>
          <w:b/>
          <w:lang w:eastAsia="en-GB"/>
        </w:rPr>
        <w:t>Objectives</w:t>
      </w:r>
    </w:p>
    <w:p w14:paraId="189079C1" w14:textId="77777777" w:rsidR="00EE4620" w:rsidRPr="00EE4620" w:rsidRDefault="00EE4620" w:rsidP="00EE4620">
      <w:pPr>
        <w:spacing w:after="0" w:line="240" w:lineRule="auto"/>
        <w:rPr>
          <w:rFonts w:ascii="Arial" w:eastAsia="Times New Roman" w:hAnsi="Arial" w:cs="Times New Roman"/>
          <w:b/>
          <w:lang w:eastAsia="en-GB"/>
        </w:rPr>
      </w:pPr>
    </w:p>
    <w:p w14:paraId="189079C2" w14:textId="77777777" w:rsidR="00EE4620" w:rsidRPr="00EE4620" w:rsidRDefault="00EE4620" w:rsidP="00EE4620">
      <w:pPr>
        <w:numPr>
          <w:ilvl w:val="0"/>
          <w:numId w:val="3"/>
        </w:numPr>
        <w:spacing w:before="120" w:after="360" w:line="240" w:lineRule="auto"/>
        <w:ind w:left="567" w:hanging="567"/>
        <w:contextualSpacing/>
        <w:rPr>
          <w:rFonts w:ascii="Arial" w:eastAsia="Arial" w:hAnsi="Arial" w:cs="Times New Roman"/>
        </w:rPr>
      </w:pPr>
      <w:r w:rsidRPr="00EE4620">
        <w:rPr>
          <w:rFonts w:ascii="Arial" w:eastAsia="Arial" w:hAnsi="Arial" w:cs="Times New Roman"/>
        </w:rPr>
        <w:t>This research was undertaken to:</w:t>
      </w:r>
    </w:p>
    <w:p w14:paraId="189079C3" w14:textId="77777777" w:rsidR="00EE4620" w:rsidRPr="00EE4620" w:rsidRDefault="00EE4620" w:rsidP="00EE4620">
      <w:pPr>
        <w:spacing w:before="120" w:after="360" w:line="240" w:lineRule="auto"/>
        <w:ind w:left="567"/>
        <w:contextualSpacing/>
        <w:rPr>
          <w:rFonts w:ascii="Arial" w:eastAsia="Arial" w:hAnsi="Arial" w:cs="Times New Roman"/>
        </w:rPr>
      </w:pPr>
    </w:p>
    <w:p w14:paraId="189079C4" w14:textId="77777777" w:rsidR="00EE4620" w:rsidRPr="00EE4620" w:rsidRDefault="00EE4620" w:rsidP="00085821">
      <w:pPr>
        <w:numPr>
          <w:ilvl w:val="1"/>
          <w:numId w:val="3"/>
        </w:numPr>
        <w:spacing w:before="120" w:after="360" w:line="240" w:lineRule="auto"/>
        <w:ind w:left="1208" w:hanging="641"/>
        <w:contextualSpacing/>
        <w:rPr>
          <w:rFonts w:ascii="Arial" w:eastAsia="Arial" w:hAnsi="Arial" w:cs="Times New Roman"/>
        </w:rPr>
      </w:pPr>
      <w:r w:rsidRPr="00EE4620">
        <w:rPr>
          <w:rFonts w:ascii="Arial" w:eastAsia="Arial" w:hAnsi="Arial" w:cs="Times New Roman"/>
        </w:rPr>
        <w:t xml:space="preserve">Quantify member authorities' understanding of the LGA and what the LGA </w:t>
      </w:r>
      <w:r w:rsidRPr="002119A4">
        <w:rPr>
          <w:rFonts w:ascii="Arial" w:eastAsia="Arial" w:hAnsi="Arial" w:cs="Arial"/>
        </w:rPr>
        <w:t>currently</w:t>
      </w:r>
      <w:r w:rsidRPr="00EE4620">
        <w:rPr>
          <w:rFonts w:ascii="Arial" w:eastAsia="Arial" w:hAnsi="Arial" w:cs="Times New Roman"/>
        </w:rPr>
        <w:t xml:space="preserve"> offers. This includes levels and channels of awareness, understanding of functions perceived to be part of the LGA’s remit, and how effective the LGA is seen at fulfilling these functions.</w:t>
      </w:r>
    </w:p>
    <w:p w14:paraId="189079C5" w14:textId="77777777" w:rsidR="00EE4620" w:rsidRPr="00EE4620" w:rsidRDefault="00EE4620" w:rsidP="00EE4620">
      <w:pPr>
        <w:spacing w:before="120" w:after="360" w:line="240" w:lineRule="auto"/>
        <w:ind w:left="780"/>
        <w:contextualSpacing/>
        <w:rPr>
          <w:rFonts w:ascii="Arial" w:eastAsia="Arial" w:hAnsi="Arial" w:cs="Times New Roman"/>
        </w:rPr>
      </w:pPr>
    </w:p>
    <w:p w14:paraId="189079C6" w14:textId="77777777" w:rsidR="00EE4620" w:rsidRPr="00EE4620" w:rsidRDefault="00EE4620" w:rsidP="00085821">
      <w:pPr>
        <w:numPr>
          <w:ilvl w:val="1"/>
          <w:numId w:val="3"/>
        </w:numPr>
        <w:spacing w:before="120" w:after="360" w:line="240" w:lineRule="auto"/>
        <w:ind w:left="1208" w:hanging="641"/>
        <w:contextualSpacing/>
        <w:rPr>
          <w:rFonts w:ascii="Arial" w:eastAsia="Arial" w:hAnsi="Arial" w:cs="Times New Roman"/>
        </w:rPr>
      </w:pPr>
      <w:r w:rsidRPr="00EE4620">
        <w:rPr>
          <w:rFonts w:ascii="Arial" w:eastAsia="Arial" w:hAnsi="Arial" w:cs="Times New Roman"/>
        </w:rPr>
        <w:t xml:space="preserve">Investigate what our members want from the LGA and how they want to engage. This aspect provides feedback on a strategic level in terms of the organisation’s role and responsibilities but also on a tactical level in terms of formats and channels preferred. </w:t>
      </w:r>
    </w:p>
    <w:p w14:paraId="189079C7" w14:textId="77777777" w:rsidR="00EE4620" w:rsidRPr="00EE4620" w:rsidRDefault="00EE4620" w:rsidP="00EE4620">
      <w:pPr>
        <w:spacing w:before="120" w:after="360"/>
        <w:ind w:left="360"/>
        <w:contextualSpacing/>
        <w:rPr>
          <w:rFonts w:ascii="Arial" w:eastAsia="Arial" w:hAnsi="Arial" w:cs="Times New Roman"/>
        </w:rPr>
      </w:pPr>
    </w:p>
    <w:p w14:paraId="189079C8" w14:textId="77777777" w:rsidR="00EE4620" w:rsidRPr="00EE4620" w:rsidRDefault="00EE4620" w:rsidP="00085821">
      <w:pPr>
        <w:numPr>
          <w:ilvl w:val="1"/>
          <w:numId w:val="3"/>
        </w:numPr>
        <w:spacing w:before="120" w:after="360" w:line="240" w:lineRule="auto"/>
        <w:ind w:left="1208" w:hanging="641"/>
        <w:contextualSpacing/>
        <w:rPr>
          <w:rFonts w:ascii="Arial" w:eastAsia="Arial" w:hAnsi="Arial" w:cs="Times New Roman"/>
        </w:rPr>
      </w:pPr>
      <w:r w:rsidRPr="00EE4620">
        <w:rPr>
          <w:rFonts w:ascii="Arial" w:eastAsia="Arial" w:hAnsi="Arial" w:cs="Times New Roman"/>
        </w:rPr>
        <w:t xml:space="preserve">Assess levels of awareness/views of sector-led improvement within local government, and views on support offered by the LGA. The research identifies areas where we might enhance its support in this </w:t>
      </w:r>
      <w:r w:rsidRPr="00EE4620">
        <w:rPr>
          <w:rFonts w:ascii="Arial" w:eastAsia="Arial" w:hAnsi="Arial" w:cs="Times New Roman"/>
        </w:rPr>
        <w:tab/>
        <w:t xml:space="preserve">area, by investigating the membership’s preferences and experiences of support, the impact that such support and the resources we provide to support sector-led improvement. </w:t>
      </w:r>
    </w:p>
    <w:p w14:paraId="189079C9" w14:textId="77777777" w:rsidR="00EE4620" w:rsidRPr="00EE4620" w:rsidRDefault="00EE4620" w:rsidP="00EE4620">
      <w:pPr>
        <w:spacing w:before="120" w:after="360" w:line="240" w:lineRule="auto"/>
        <w:ind w:left="780"/>
        <w:contextualSpacing/>
        <w:rPr>
          <w:rFonts w:ascii="Arial" w:eastAsia="Arial" w:hAnsi="Arial" w:cs="Times New Roman"/>
        </w:rPr>
      </w:pPr>
    </w:p>
    <w:p w14:paraId="189079CA" w14:textId="77777777" w:rsidR="00EE4620" w:rsidRPr="00EE4620" w:rsidRDefault="00EE4620" w:rsidP="00EE4620">
      <w:pPr>
        <w:numPr>
          <w:ilvl w:val="0"/>
          <w:numId w:val="3"/>
        </w:numPr>
        <w:spacing w:before="120" w:after="360" w:line="240" w:lineRule="auto"/>
        <w:ind w:left="567" w:hanging="567"/>
        <w:contextualSpacing/>
        <w:rPr>
          <w:rFonts w:ascii="Arial" w:eastAsia="Arial" w:hAnsi="Arial" w:cs="Times New Roman"/>
        </w:rPr>
      </w:pPr>
      <w:r w:rsidRPr="00EE4620">
        <w:rPr>
          <w:rFonts w:ascii="Arial" w:eastAsia="Arial" w:hAnsi="Arial" w:cs="Times New Roman"/>
        </w:rPr>
        <w:t>Compare with the results of the 2012 survey.</w:t>
      </w:r>
    </w:p>
    <w:p w14:paraId="189079CB" w14:textId="77777777" w:rsidR="00EE4620" w:rsidRDefault="00EE4620" w:rsidP="00EE4620">
      <w:pPr>
        <w:spacing w:after="0" w:line="240" w:lineRule="auto"/>
        <w:rPr>
          <w:rFonts w:ascii="Arial" w:eastAsia="Times New Roman" w:hAnsi="Arial" w:cs="Times New Roman"/>
          <w:b/>
          <w:lang w:eastAsia="en-GB"/>
        </w:rPr>
      </w:pPr>
    </w:p>
    <w:p w14:paraId="77B12D47" w14:textId="77777777" w:rsidR="002119A4" w:rsidRDefault="002119A4" w:rsidP="00EE4620">
      <w:pPr>
        <w:spacing w:after="0" w:line="240" w:lineRule="auto"/>
        <w:rPr>
          <w:rFonts w:ascii="Arial" w:eastAsia="Times New Roman" w:hAnsi="Arial" w:cs="Times New Roman"/>
          <w:b/>
          <w:lang w:eastAsia="en-GB"/>
        </w:rPr>
      </w:pPr>
      <w:r>
        <w:rPr>
          <w:rFonts w:ascii="Arial" w:eastAsia="Times New Roman" w:hAnsi="Arial" w:cs="Times New Roman"/>
          <w:b/>
          <w:lang w:eastAsia="en-GB"/>
        </w:rPr>
        <w:br w:type="page"/>
      </w:r>
    </w:p>
    <w:p w14:paraId="189079CC" w14:textId="544F0CF6" w:rsidR="00EE4620" w:rsidRPr="00EE4620" w:rsidRDefault="00EE4620" w:rsidP="00EE4620">
      <w:pPr>
        <w:spacing w:after="0" w:line="240" w:lineRule="auto"/>
        <w:rPr>
          <w:rFonts w:ascii="Arial" w:eastAsia="Times New Roman" w:hAnsi="Arial" w:cs="Times New Roman"/>
          <w:b/>
          <w:lang w:eastAsia="en-GB"/>
        </w:rPr>
      </w:pPr>
      <w:r w:rsidRPr="00EE4620">
        <w:rPr>
          <w:rFonts w:ascii="Arial" w:eastAsia="Times New Roman" w:hAnsi="Arial" w:cs="Times New Roman"/>
          <w:b/>
          <w:lang w:eastAsia="en-GB"/>
        </w:rPr>
        <w:lastRenderedPageBreak/>
        <w:t>Methodology</w:t>
      </w:r>
    </w:p>
    <w:p w14:paraId="189079CD" w14:textId="77777777" w:rsidR="00EE4620" w:rsidRPr="00EE4620" w:rsidRDefault="00EE4620" w:rsidP="00EE4620">
      <w:pPr>
        <w:spacing w:after="0" w:line="240" w:lineRule="auto"/>
        <w:rPr>
          <w:rFonts w:ascii="Arial" w:eastAsia="Times New Roman" w:hAnsi="Arial" w:cs="Times New Roman"/>
          <w:b/>
          <w:lang w:eastAsia="en-GB"/>
        </w:rPr>
      </w:pPr>
    </w:p>
    <w:p w14:paraId="189079CE" w14:textId="77777777" w:rsidR="00EE4620" w:rsidRPr="00EE4620" w:rsidRDefault="00EE4620" w:rsidP="00EE4620">
      <w:pPr>
        <w:numPr>
          <w:ilvl w:val="0"/>
          <w:numId w:val="3"/>
        </w:numPr>
        <w:spacing w:before="120" w:after="360" w:line="240" w:lineRule="auto"/>
        <w:ind w:left="567" w:hanging="567"/>
        <w:contextualSpacing/>
        <w:rPr>
          <w:rFonts w:ascii="Arial" w:eastAsia="Arial" w:hAnsi="Arial" w:cs="Times New Roman"/>
        </w:rPr>
      </w:pPr>
      <w:r w:rsidRPr="00EE4620">
        <w:rPr>
          <w:rFonts w:ascii="Arial" w:eastAsia="Arial" w:hAnsi="Arial" w:cs="Times New Roman"/>
        </w:rPr>
        <w:t>Telephone Interviews were conducted by BMG Research on the LGA’s behalf with a sample of 917 representatives from councils across all regions.  These included:</w:t>
      </w:r>
    </w:p>
    <w:p w14:paraId="189079CF" w14:textId="77777777" w:rsidR="00EE4620" w:rsidRPr="00EE4620" w:rsidRDefault="00EE4620" w:rsidP="00EE4620">
      <w:pPr>
        <w:spacing w:before="120" w:after="360" w:line="240" w:lineRule="auto"/>
        <w:ind w:left="567"/>
        <w:contextualSpacing/>
        <w:rPr>
          <w:rFonts w:ascii="Arial" w:eastAsia="Arial" w:hAnsi="Arial" w:cs="Times New Roman"/>
        </w:rPr>
      </w:pPr>
    </w:p>
    <w:p w14:paraId="189079D0" w14:textId="77777777" w:rsidR="00EE4620" w:rsidRPr="00EE4620" w:rsidRDefault="00EE4620" w:rsidP="00085821">
      <w:pPr>
        <w:numPr>
          <w:ilvl w:val="1"/>
          <w:numId w:val="3"/>
        </w:numPr>
        <w:spacing w:before="120" w:after="360" w:line="240" w:lineRule="auto"/>
        <w:ind w:left="1208" w:hanging="641"/>
        <w:contextualSpacing/>
        <w:rPr>
          <w:rFonts w:ascii="Arial" w:eastAsia="Arial" w:hAnsi="Arial" w:cs="Times New Roman"/>
        </w:rPr>
      </w:pPr>
      <w:r w:rsidRPr="00EE4620">
        <w:rPr>
          <w:rFonts w:ascii="Arial" w:eastAsia="Arial" w:hAnsi="Arial" w:cs="Times New Roman"/>
        </w:rPr>
        <w:t>Council leaders.</w:t>
      </w:r>
    </w:p>
    <w:p w14:paraId="189079D1" w14:textId="77777777" w:rsidR="00EE4620" w:rsidRPr="00EE4620" w:rsidRDefault="00EE4620" w:rsidP="00085821">
      <w:pPr>
        <w:numPr>
          <w:ilvl w:val="1"/>
          <w:numId w:val="3"/>
        </w:numPr>
        <w:spacing w:before="120" w:after="360" w:line="240" w:lineRule="auto"/>
        <w:ind w:left="1208" w:hanging="641"/>
        <w:contextualSpacing/>
        <w:rPr>
          <w:rFonts w:ascii="Arial" w:eastAsia="Arial" w:hAnsi="Arial" w:cs="Times New Roman"/>
        </w:rPr>
      </w:pPr>
      <w:r w:rsidRPr="00EE4620">
        <w:rPr>
          <w:rFonts w:ascii="Arial" w:eastAsia="Arial" w:hAnsi="Arial" w:cs="Times New Roman"/>
        </w:rPr>
        <w:t>Portfolio holders.</w:t>
      </w:r>
    </w:p>
    <w:p w14:paraId="189079D2" w14:textId="77777777" w:rsidR="00EE4620" w:rsidRPr="00EE4620" w:rsidRDefault="00EE4620" w:rsidP="00085821">
      <w:pPr>
        <w:numPr>
          <w:ilvl w:val="1"/>
          <w:numId w:val="3"/>
        </w:numPr>
        <w:spacing w:before="120" w:after="360" w:line="240" w:lineRule="auto"/>
        <w:ind w:left="1208" w:hanging="641"/>
        <w:contextualSpacing/>
        <w:rPr>
          <w:rFonts w:ascii="Arial" w:eastAsia="Arial" w:hAnsi="Arial" w:cs="Times New Roman"/>
        </w:rPr>
      </w:pPr>
      <w:r w:rsidRPr="00EE4620">
        <w:rPr>
          <w:rFonts w:ascii="Arial" w:eastAsia="Arial" w:hAnsi="Arial" w:cs="Times New Roman"/>
        </w:rPr>
        <w:t>Chairs of scrutiny.</w:t>
      </w:r>
    </w:p>
    <w:p w14:paraId="189079D3" w14:textId="77777777" w:rsidR="00EE4620" w:rsidRPr="00EE4620" w:rsidRDefault="00EE4620" w:rsidP="00085821">
      <w:pPr>
        <w:numPr>
          <w:ilvl w:val="1"/>
          <w:numId w:val="3"/>
        </w:numPr>
        <w:spacing w:before="120" w:after="360" w:line="240" w:lineRule="auto"/>
        <w:ind w:left="1208" w:hanging="641"/>
        <w:contextualSpacing/>
        <w:rPr>
          <w:rFonts w:ascii="Arial" w:eastAsia="Arial" w:hAnsi="Arial" w:cs="Times New Roman"/>
        </w:rPr>
      </w:pPr>
      <w:r w:rsidRPr="00EE4620">
        <w:rPr>
          <w:rFonts w:ascii="Arial" w:eastAsia="Arial" w:hAnsi="Arial" w:cs="Times New Roman"/>
        </w:rPr>
        <w:t>Backbench councillors.</w:t>
      </w:r>
    </w:p>
    <w:p w14:paraId="189079D4" w14:textId="77777777" w:rsidR="00EE4620" w:rsidRPr="00EE4620" w:rsidRDefault="00EE4620" w:rsidP="00085821">
      <w:pPr>
        <w:numPr>
          <w:ilvl w:val="1"/>
          <w:numId w:val="3"/>
        </w:numPr>
        <w:spacing w:before="120" w:after="360" w:line="240" w:lineRule="auto"/>
        <w:ind w:left="1208" w:hanging="641"/>
        <w:contextualSpacing/>
        <w:rPr>
          <w:rFonts w:ascii="Arial" w:eastAsia="Arial" w:hAnsi="Arial" w:cs="Times New Roman"/>
        </w:rPr>
      </w:pPr>
      <w:r w:rsidRPr="00EE4620">
        <w:rPr>
          <w:rFonts w:ascii="Arial" w:eastAsia="Arial" w:hAnsi="Arial" w:cs="Times New Roman"/>
        </w:rPr>
        <w:t>Chief executives.</w:t>
      </w:r>
    </w:p>
    <w:p w14:paraId="189079D5" w14:textId="77777777" w:rsidR="00EE4620" w:rsidRPr="00EE4620" w:rsidRDefault="00EE4620" w:rsidP="00085821">
      <w:pPr>
        <w:numPr>
          <w:ilvl w:val="1"/>
          <w:numId w:val="3"/>
        </w:numPr>
        <w:spacing w:before="120" w:after="360" w:line="240" w:lineRule="auto"/>
        <w:ind w:left="1208" w:hanging="641"/>
        <w:contextualSpacing/>
        <w:rPr>
          <w:rFonts w:ascii="Arial" w:eastAsia="Arial" w:hAnsi="Arial" w:cs="Times New Roman"/>
        </w:rPr>
      </w:pPr>
      <w:r w:rsidRPr="00EE4620">
        <w:rPr>
          <w:rFonts w:ascii="Arial" w:eastAsia="Arial" w:hAnsi="Arial" w:cs="Times New Roman"/>
        </w:rPr>
        <w:t>Directors.</w:t>
      </w:r>
    </w:p>
    <w:p w14:paraId="189079D6" w14:textId="77777777" w:rsidR="00EE4620" w:rsidRPr="00EE4620" w:rsidRDefault="00EE4620" w:rsidP="00EE4620">
      <w:pPr>
        <w:spacing w:before="120" w:after="360" w:line="240" w:lineRule="auto"/>
        <w:ind w:left="792"/>
        <w:contextualSpacing/>
        <w:rPr>
          <w:rFonts w:ascii="Arial" w:eastAsia="Arial" w:hAnsi="Arial" w:cs="Times New Roman"/>
        </w:rPr>
      </w:pPr>
    </w:p>
    <w:p w14:paraId="189079D7" w14:textId="77777777" w:rsidR="00EE4620" w:rsidRPr="00EE4620" w:rsidRDefault="00EE4620" w:rsidP="00EE4620">
      <w:pPr>
        <w:numPr>
          <w:ilvl w:val="0"/>
          <w:numId w:val="3"/>
        </w:numPr>
        <w:spacing w:before="120" w:after="360" w:line="240" w:lineRule="auto"/>
        <w:ind w:left="567" w:hanging="567"/>
        <w:contextualSpacing/>
        <w:rPr>
          <w:rFonts w:ascii="Arial" w:eastAsia="Arial" w:hAnsi="Arial" w:cs="Times New Roman"/>
        </w:rPr>
      </w:pPr>
      <w:r w:rsidRPr="00EE4620">
        <w:rPr>
          <w:rFonts w:ascii="Arial" w:eastAsia="Arial" w:hAnsi="Arial" w:cs="Times New Roman"/>
        </w:rPr>
        <w:t>This has given a strong, representative sample allowing detailed analysis by role and region.  The sample size has a maximum standard error of +/-3.1% at the 95% level of confidence, giving these findings a high level of accuracy.  Interviews took between 15 and 20 minutes and explored:</w:t>
      </w:r>
    </w:p>
    <w:p w14:paraId="189079D8" w14:textId="77777777" w:rsidR="00EE4620" w:rsidRPr="00EE4620" w:rsidRDefault="00EE4620" w:rsidP="002119A4">
      <w:pPr>
        <w:spacing w:before="120" w:after="360" w:line="240" w:lineRule="auto"/>
        <w:contextualSpacing/>
        <w:rPr>
          <w:rFonts w:ascii="Arial" w:eastAsia="Arial" w:hAnsi="Arial" w:cs="Times New Roman"/>
        </w:rPr>
      </w:pPr>
    </w:p>
    <w:p w14:paraId="189079D9" w14:textId="77777777" w:rsidR="00EE4620" w:rsidRPr="00EE4620" w:rsidRDefault="00EE4620" w:rsidP="00085821">
      <w:pPr>
        <w:numPr>
          <w:ilvl w:val="1"/>
          <w:numId w:val="3"/>
        </w:numPr>
        <w:spacing w:before="120" w:after="360" w:line="240" w:lineRule="auto"/>
        <w:ind w:left="1208" w:hanging="641"/>
        <w:contextualSpacing/>
        <w:rPr>
          <w:rFonts w:ascii="Arial" w:eastAsia="Arial" w:hAnsi="Arial" w:cs="Times New Roman"/>
        </w:rPr>
      </w:pPr>
      <w:r w:rsidRPr="00EE4620">
        <w:rPr>
          <w:rFonts w:ascii="Arial" w:eastAsia="Arial" w:hAnsi="Arial" w:cs="Times New Roman"/>
        </w:rPr>
        <w:t xml:space="preserve">Our offer and current provision; </w:t>
      </w:r>
    </w:p>
    <w:p w14:paraId="189079DA" w14:textId="77777777" w:rsidR="00EE4620" w:rsidRPr="00EE4620" w:rsidRDefault="00EE4620" w:rsidP="00085821">
      <w:pPr>
        <w:numPr>
          <w:ilvl w:val="1"/>
          <w:numId w:val="3"/>
        </w:numPr>
        <w:spacing w:before="120" w:after="360" w:line="240" w:lineRule="auto"/>
        <w:ind w:left="1208" w:hanging="641"/>
        <w:contextualSpacing/>
        <w:rPr>
          <w:rFonts w:ascii="Arial" w:eastAsia="Arial" w:hAnsi="Arial" w:cs="Times New Roman"/>
        </w:rPr>
      </w:pPr>
      <w:r w:rsidRPr="00EE4620">
        <w:rPr>
          <w:rFonts w:ascii="Arial" w:eastAsia="Arial" w:hAnsi="Arial" w:cs="Times New Roman"/>
        </w:rPr>
        <w:t xml:space="preserve">Our current role and priorities and how these can be developed; </w:t>
      </w:r>
    </w:p>
    <w:p w14:paraId="189079DB" w14:textId="71332CFE" w:rsidR="00EE4620" w:rsidRPr="00EE4620" w:rsidRDefault="00EE4620" w:rsidP="00085821">
      <w:pPr>
        <w:numPr>
          <w:ilvl w:val="1"/>
          <w:numId w:val="3"/>
        </w:numPr>
        <w:spacing w:before="120" w:after="360" w:line="240" w:lineRule="auto"/>
        <w:ind w:left="1208" w:hanging="641"/>
        <w:contextualSpacing/>
        <w:rPr>
          <w:rFonts w:ascii="Arial" w:eastAsia="Arial" w:hAnsi="Arial" w:cs="Times New Roman"/>
        </w:rPr>
      </w:pPr>
      <w:r w:rsidRPr="00EE4620">
        <w:rPr>
          <w:rFonts w:ascii="Arial" w:eastAsia="Arial" w:hAnsi="Arial" w:cs="Times New Roman"/>
        </w:rPr>
        <w:t xml:space="preserve">Effectiveness of our communications and preferred methods of engagement; and </w:t>
      </w:r>
    </w:p>
    <w:p w14:paraId="189079DC" w14:textId="77777777" w:rsidR="00EE4620" w:rsidRPr="00EE4620" w:rsidRDefault="00EE4620" w:rsidP="00085821">
      <w:pPr>
        <w:numPr>
          <w:ilvl w:val="1"/>
          <w:numId w:val="3"/>
        </w:numPr>
        <w:spacing w:before="120" w:after="360" w:line="240" w:lineRule="auto"/>
        <w:ind w:left="1208" w:hanging="641"/>
        <w:contextualSpacing/>
        <w:rPr>
          <w:rFonts w:ascii="Arial" w:eastAsia="Arial" w:hAnsi="Arial" w:cs="Times New Roman"/>
        </w:rPr>
      </w:pPr>
      <w:r w:rsidRPr="00EE4620">
        <w:rPr>
          <w:rFonts w:ascii="Arial" w:eastAsia="Arial" w:hAnsi="Arial" w:cs="Times New Roman"/>
        </w:rPr>
        <w:t xml:space="preserve">Sector-led improvement within local government, our support offered to members and how it can be </w:t>
      </w:r>
      <w:proofErr w:type="gramStart"/>
      <w:r w:rsidRPr="00EE4620">
        <w:rPr>
          <w:rFonts w:ascii="Arial" w:eastAsia="Arial" w:hAnsi="Arial" w:cs="Times New Roman"/>
        </w:rPr>
        <w:t>developed/improved</w:t>
      </w:r>
      <w:proofErr w:type="gramEnd"/>
      <w:r w:rsidRPr="00EE4620">
        <w:rPr>
          <w:rFonts w:ascii="Arial" w:eastAsia="Arial" w:hAnsi="Arial" w:cs="Times New Roman"/>
        </w:rPr>
        <w:t>.</w:t>
      </w:r>
    </w:p>
    <w:p w14:paraId="189079DD" w14:textId="77777777" w:rsidR="00EE4620" w:rsidRPr="00EE4620" w:rsidRDefault="00EE4620" w:rsidP="00EE4620">
      <w:pPr>
        <w:spacing w:before="120" w:after="360" w:line="240" w:lineRule="auto"/>
        <w:ind w:left="792"/>
        <w:contextualSpacing/>
        <w:rPr>
          <w:rFonts w:ascii="Arial" w:eastAsia="Arial" w:hAnsi="Arial" w:cs="Times New Roman"/>
        </w:rPr>
      </w:pPr>
    </w:p>
    <w:p w14:paraId="189079DE" w14:textId="77777777" w:rsidR="00EE4620" w:rsidRPr="00EE4620" w:rsidRDefault="00EE4620" w:rsidP="00EE4620">
      <w:pPr>
        <w:numPr>
          <w:ilvl w:val="0"/>
          <w:numId w:val="3"/>
        </w:numPr>
        <w:spacing w:before="120" w:after="360" w:line="240" w:lineRule="auto"/>
        <w:ind w:left="567" w:hanging="567"/>
        <w:contextualSpacing/>
        <w:rPr>
          <w:rFonts w:ascii="Arial" w:eastAsia="Arial" w:hAnsi="Arial" w:cs="Arial"/>
        </w:rPr>
      </w:pPr>
      <w:r w:rsidRPr="00EE4620">
        <w:rPr>
          <w:rFonts w:ascii="Arial" w:eastAsia="Arial" w:hAnsi="Arial" w:cs="Arial"/>
        </w:rPr>
        <w:t xml:space="preserve">Some two answer options have been merged for simplicity. This may mean results appear to be a slightly different percent than that reported. </w:t>
      </w:r>
    </w:p>
    <w:p w14:paraId="189079DF" w14:textId="77777777" w:rsidR="00EE4620" w:rsidRPr="00EE4620" w:rsidRDefault="00EE4620" w:rsidP="00EE4620">
      <w:pPr>
        <w:spacing w:after="0" w:line="240" w:lineRule="auto"/>
        <w:rPr>
          <w:rFonts w:ascii="Arial" w:eastAsia="Times New Roman" w:hAnsi="Arial" w:cs="Arial"/>
          <w:b/>
          <w:bCs/>
          <w:lang w:eastAsia="en-GB"/>
        </w:rPr>
      </w:pPr>
      <w:r w:rsidRPr="00EE4620">
        <w:rPr>
          <w:rFonts w:ascii="Arial" w:eastAsia="Times New Roman" w:hAnsi="Arial" w:cs="Arial"/>
          <w:b/>
          <w:bCs/>
          <w:lang w:eastAsia="en-GB"/>
        </w:rPr>
        <w:br w:type="page"/>
      </w:r>
    </w:p>
    <w:p w14:paraId="189079E0" w14:textId="77777777" w:rsidR="00EE4620" w:rsidRPr="00EE4620" w:rsidRDefault="00EE4620" w:rsidP="00EE4620">
      <w:pPr>
        <w:spacing w:after="0" w:line="240" w:lineRule="auto"/>
        <w:rPr>
          <w:rFonts w:ascii="Arial" w:eastAsia="Times New Roman" w:hAnsi="Arial" w:cs="Arial"/>
          <w:b/>
          <w:bCs/>
          <w:lang w:eastAsia="en-GB"/>
        </w:rPr>
      </w:pPr>
      <w:r w:rsidRPr="00EE4620">
        <w:rPr>
          <w:rFonts w:ascii="Arial" w:eastAsia="Times New Roman" w:hAnsi="Arial" w:cs="Arial"/>
          <w:b/>
          <w:bCs/>
          <w:lang w:eastAsia="en-GB"/>
        </w:rPr>
        <w:lastRenderedPageBreak/>
        <w:t xml:space="preserve">Table </w:t>
      </w:r>
      <w:r w:rsidRPr="00EE4620">
        <w:rPr>
          <w:rFonts w:ascii="Arial" w:eastAsia="Times New Roman" w:hAnsi="Arial" w:cs="Arial"/>
          <w:b/>
          <w:bCs/>
          <w:lang w:eastAsia="en-GB"/>
        </w:rPr>
        <w:fldChar w:fldCharType="begin"/>
      </w:r>
      <w:r w:rsidRPr="00EE4620">
        <w:rPr>
          <w:rFonts w:ascii="Arial" w:eastAsia="Times New Roman" w:hAnsi="Arial" w:cs="Arial"/>
          <w:b/>
          <w:bCs/>
          <w:lang w:eastAsia="en-GB"/>
        </w:rPr>
        <w:instrText xml:space="preserve"> SEQ Table \* ARABIC </w:instrText>
      </w:r>
      <w:r w:rsidRPr="00EE4620">
        <w:rPr>
          <w:rFonts w:ascii="Arial" w:eastAsia="Times New Roman" w:hAnsi="Arial" w:cs="Arial"/>
          <w:b/>
          <w:bCs/>
          <w:lang w:eastAsia="en-GB"/>
        </w:rPr>
        <w:fldChar w:fldCharType="separate"/>
      </w:r>
      <w:r w:rsidRPr="00EE4620">
        <w:rPr>
          <w:rFonts w:ascii="Arial" w:eastAsia="Times New Roman" w:hAnsi="Arial" w:cs="Arial"/>
          <w:b/>
          <w:bCs/>
          <w:noProof/>
          <w:lang w:eastAsia="en-GB"/>
        </w:rPr>
        <w:t>1</w:t>
      </w:r>
      <w:r w:rsidRPr="00EE4620">
        <w:rPr>
          <w:rFonts w:ascii="Arial" w:eastAsia="Times New Roman" w:hAnsi="Arial" w:cs="Arial"/>
          <w:b/>
          <w:bCs/>
          <w:lang w:eastAsia="en-GB"/>
        </w:rPr>
        <w:fldChar w:fldCharType="end"/>
      </w:r>
      <w:r w:rsidRPr="00EE4620">
        <w:rPr>
          <w:rFonts w:ascii="Arial" w:eastAsia="Times New Roman" w:hAnsi="Arial" w:cs="Arial"/>
          <w:b/>
          <w:bCs/>
          <w:lang w:eastAsia="en-GB"/>
        </w:rPr>
        <w:t xml:space="preserve"> - Respondents, by region, role and amalgamated role type</w:t>
      </w:r>
    </w:p>
    <w:p w14:paraId="189079E1" w14:textId="77777777" w:rsidR="00EE4620" w:rsidRPr="00EE4620" w:rsidRDefault="00EE4620" w:rsidP="00EE4620">
      <w:pPr>
        <w:spacing w:after="0" w:line="240" w:lineRule="auto"/>
        <w:rPr>
          <w:rFonts w:ascii="Arial" w:eastAsia="Times New Roman" w:hAnsi="Arial" w:cs="Times New Roman"/>
          <w:sz w:val="24"/>
          <w:szCs w:val="20"/>
          <w:lang w:eastAsia="en-GB"/>
        </w:rPr>
      </w:pPr>
    </w:p>
    <w:p w14:paraId="189079E2" w14:textId="77777777" w:rsidR="00EE4620" w:rsidRPr="00EE4620" w:rsidRDefault="00EE4620" w:rsidP="00EE4620">
      <w:pPr>
        <w:spacing w:after="0" w:line="240" w:lineRule="auto"/>
        <w:rPr>
          <w:rFonts w:ascii="Arial" w:eastAsia="Times New Roman" w:hAnsi="Arial" w:cs="Times New Roman"/>
          <w:sz w:val="24"/>
          <w:szCs w:val="20"/>
          <w:lang w:eastAsia="en-GB"/>
        </w:rPr>
      </w:pPr>
    </w:p>
    <w:tbl>
      <w:tblPr>
        <w:tblStyle w:val="LightList1"/>
        <w:tblW w:w="10065" w:type="dxa"/>
        <w:tblInd w:w="-869" w:type="dxa"/>
        <w:tblLayout w:type="fixed"/>
        <w:tblLook w:val="0000" w:firstRow="0" w:lastRow="0" w:firstColumn="0" w:lastColumn="0" w:noHBand="0" w:noVBand="0"/>
      </w:tblPr>
      <w:tblGrid>
        <w:gridCol w:w="1701"/>
        <w:gridCol w:w="1276"/>
        <w:gridCol w:w="1134"/>
        <w:gridCol w:w="1134"/>
        <w:gridCol w:w="1134"/>
        <w:gridCol w:w="1134"/>
        <w:gridCol w:w="1418"/>
        <w:gridCol w:w="1134"/>
      </w:tblGrid>
      <w:tr w:rsidR="00EE4620" w:rsidRPr="00EE4620" w14:paraId="189079E9" w14:textId="77777777" w:rsidTr="00E55451">
        <w:trPr>
          <w:cnfStyle w:val="000000100000" w:firstRow="0" w:lastRow="0" w:firstColumn="0" w:lastColumn="0" w:oddVBand="0" w:evenVBand="0" w:oddHBand="1" w:evenHBand="0" w:firstRowFirstColumn="0" w:firstRowLastColumn="0" w:lastRowFirstColumn="0" w:lastRowLastColumn="0"/>
          <w:trHeight w:val="290"/>
        </w:trPr>
        <w:tc>
          <w:tcPr>
            <w:cnfStyle w:val="000010000000" w:firstRow="0" w:lastRow="0" w:firstColumn="0" w:lastColumn="0" w:oddVBand="1" w:evenVBand="0" w:oddHBand="0" w:evenHBand="0" w:firstRowFirstColumn="0" w:firstRowLastColumn="0" w:lastRowFirstColumn="0" w:lastRowLastColumn="0"/>
            <w:tcW w:w="1701" w:type="dxa"/>
            <w:shd w:val="clear" w:color="auto" w:fill="000000" w:themeFill="text1"/>
          </w:tcPr>
          <w:p w14:paraId="189079E3" w14:textId="77777777" w:rsidR="00EE4620" w:rsidRPr="00EE4620" w:rsidRDefault="00EE4620" w:rsidP="00EE4620">
            <w:pPr>
              <w:autoSpaceDE w:val="0"/>
              <w:autoSpaceDN w:val="0"/>
              <w:adjustRightInd w:val="0"/>
              <w:jc w:val="right"/>
              <w:rPr>
                <w:rFonts w:cs="Arial"/>
                <w:b/>
                <w:color w:val="FFFFFF"/>
                <w:sz w:val="20"/>
              </w:rPr>
            </w:pPr>
            <w:r w:rsidRPr="00EE4620">
              <w:rPr>
                <w:rFonts w:cs="Arial"/>
                <w:b/>
                <w:color w:val="FFFFFF"/>
                <w:sz w:val="20"/>
              </w:rPr>
              <w:t>Amalgamated role:</w:t>
            </w:r>
          </w:p>
        </w:tc>
        <w:tc>
          <w:tcPr>
            <w:tcW w:w="2410" w:type="dxa"/>
            <w:gridSpan w:val="2"/>
            <w:shd w:val="clear" w:color="auto" w:fill="000000" w:themeFill="text1"/>
          </w:tcPr>
          <w:p w14:paraId="189079E4" w14:textId="77777777" w:rsidR="00EE4620" w:rsidRPr="00EE4620" w:rsidRDefault="00EE4620" w:rsidP="00EE462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b/>
                <w:color w:val="FFFFFF"/>
                <w:sz w:val="20"/>
              </w:rPr>
            </w:pPr>
            <w:r w:rsidRPr="00EE4620">
              <w:rPr>
                <w:rFonts w:cs="Arial"/>
                <w:b/>
                <w:color w:val="FFFFFF"/>
                <w:sz w:val="20"/>
              </w:rPr>
              <w:t>Officers</w:t>
            </w:r>
          </w:p>
        </w:tc>
        <w:tc>
          <w:tcPr>
            <w:cnfStyle w:val="000010000000" w:firstRow="0" w:lastRow="0" w:firstColumn="0" w:lastColumn="0" w:oddVBand="1" w:evenVBand="0" w:oddHBand="0" w:evenHBand="0" w:firstRowFirstColumn="0" w:firstRowLastColumn="0" w:lastRowFirstColumn="0" w:lastRowLastColumn="0"/>
            <w:tcW w:w="3402" w:type="dxa"/>
            <w:gridSpan w:val="3"/>
            <w:shd w:val="clear" w:color="auto" w:fill="000000" w:themeFill="text1"/>
          </w:tcPr>
          <w:p w14:paraId="189079E5" w14:textId="77777777" w:rsidR="00EE4620" w:rsidRPr="00EE4620" w:rsidRDefault="00EE4620" w:rsidP="00EE4620">
            <w:pPr>
              <w:autoSpaceDE w:val="0"/>
              <w:autoSpaceDN w:val="0"/>
              <w:adjustRightInd w:val="0"/>
              <w:jc w:val="center"/>
              <w:rPr>
                <w:rFonts w:cs="Arial"/>
                <w:b/>
                <w:color w:val="FFFFFF"/>
                <w:sz w:val="20"/>
              </w:rPr>
            </w:pPr>
            <w:r w:rsidRPr="00EE4620">
              <w:rPr>
                <w:rFonts w:cs="Arial"/>
                <w:b/>
                <w:color w:val="FFFFFF"/>
                <w:sz w:val="20"/>
              </w:rPr>
              <w:t xml:space="preserve">Frontbench </w:t>
            </w:r>
            <w:proofErr w:type="spellStart"/>
            <w:r w:rsidRPr="00EE4620">
              <w:rPr>
                <w:rFonts w:cs="Arial"/>
                <w:b/>
                <w:color w:val="FFFFFF"/>
                <w:sz w:val="20"/>
              </w:rPr>
              <w:t>Councillors</w:t>
            </w:r>
            <w:proofErr w:type="spellEnd"/>
          </w:p>
        </w:tc>
        <w:tc>
          <w:tcPr>
            <w:tcW w:w="1418" w:type="dxa"/>
            <w:shd w:val="clear" w:color="auto" w:fill="000000" w:themeFill="text1"/>
          </w:tcPr>
          <w:p w14:paraId="189079E6" w14:textId="77777777" w:rsidR="00EE4620" w:rsidRPr="00EE4620" w:rsidRDefault="00EE4620" w:rsidP="00EE462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b/>
                <w:color w:val="FFFFFF"/>
                <w:sz w:val="20"/>
              </w:rPr>
            </w:pPr>
            <w:r w:rsidRPr="00EE4620">
              <w:rPr>
                <w:rFonts w:cs="Arial"/>
                <w:b/>
                <w:color w:val="FFFFFF"/>
                <w:sz w:val="20"/>
              </w:rPr>
              <w:t xml:space="preserve">Backbench </w:t>
            </w:r>
            <w:proofErr w:type="spellStart"/>
            <w:r w:rsidRPr="00EE4620">
              <w:rPr>
                <w:rFonts w:cs="Arial"/>
                <w:b/>
                <w:color w:val="FFFFFF"/>
                <w:sz w:val="20"/>
              </w:rPr>
              <w:t>Councillors</w:t>
            </w:r>
            <w:proofErr w:type="spellEnd"/>
          </w:p>
        </w:tc>
        <w:tc>
          <w:tcPr>
            <w:cnfStyle w:val="000010000000" w:firstRow="0" w:lastRow="0" w:firstColumn="0" w:lastColumn="0" w:oddVBand="1" w:evenVBand="0" w:oddHBand="0" w:evenHBand="0" w:firstRowFirstColumn="0" w:firstRowLastColumn="0" w:lastRowFirstColumn="0" w:lastRowLastColumn="0"/>
            <w:tcW w:w="1134" w:type="dxa"/>
            <w:vMerge w:val="restart"/>
            <w:shd w:val="clear" w:color="auto" w:fill="000000" w:themeFill="text1"/>
          </w:tcPr>
          <w:p w14:paraId="189079E7" w14:textId="77777777" w:rsidR="00EE4620" w:rsidRPr="00EE4620" w:rsidRDefault="00EE4620" w:rsidP="00EE4620">
            <w:pPr>
              <w:autoSpaceDE w:val="0"/>
              <w:autoSpaceDN w:val="0"/>
              <w:adjustRightInd w:val="0"/>
              <w:jc w:val="center"/>
              <w:rPr>
                <w:rFonts w:cs="Arial"/>
                <w:b/>
                <w:color w:val="FFFFFF"/>
                <w:sz w:val="20"/>
              </w:rPr>
            </w:pPr>
            <w:r w:rsidRPr="00EE4620">
              <w:rPr>
                <w:rFonts w:cs="Arial"/>
                <w:b/>
                <w:color w:val="FFFFFF"/>
                <w:sz w:val="20"/>
              </w:rPr>
              <w:t>Regional</w:t>
            </w:r>
          </w:p>
          <w:p w14:paraId="189079E8" w14:textId="77777777" w:rsidR="00EE4620" w:rsidRPr="00EE4620" w:rsidRDefault="00EE4620" w:rsidP="00EE4620">
            <w:pPr>
              <w:autoSpaceDE w:val="0"/>
              <w:autoSpaceDN w:val="0"/>
              <w:adjustRightInd w:val="0"/>
              <w:jc w:val="center"/>
              <w:rPr>
                <w:rFonts w:cs="Arial"/>
                <w:b/>
                <w:color w:val="FFFFFF"/>
                <w:sz w:val="20"/>
              </w:rPr>
            </w:pPr>
            <w:r w:rsidRPr="00EE4620">
              <w:rPr>
                <w:rFonts w:cs="Arial"/>
                <w:b/>
                <w:color w:val="FFFFFF"/>
                <w:sz w:val="20"/>
              </w:rPr>
              <w:t>Total</w:t>
            </w:r>
          </w:p>
        </w:tc>
      </w:tr>
      <w:tr w:rsidR="00EE4620" w:rsidRPr="00EE4620" w14:paraId="189079F3" w14:textId="77777777" w:rsidTr="00E55451">
        <w:trPr>
          <w:trHeight w:val="290"/>
        </w:trPr>
        <w:tc>
          <w:tcPr>
            <w:cnfStyle w:val="000010000000" w:firstRow="0" w:lastRow="0" w:firstColumn="0" w:lastColumn="0" w:oddVBand="1" w:evenVBand="0" w:oddHBand="0" w:evenHBand="0" w:firstRowFirstColumn="0" w:firstRowLastColumn="0" w:lastRowFirstColumn="0" w:lastRowLastColumn="0"/>
            <w:tcW w:w="1701" w:type="dxa"/>
            <w:tcBorders>
              <w:bottom w:val="single" w:sz="8" w:space="0" w:color="000000"/>
            </w:tcBorders>
            <w:shd w:val="clear" w:color="auto" w:fill="000000" w:themeFill="text1"/>
          </w:tcPr>
          <w:p w14:paraId="189079EA" w14:textId="77777777" w:rsidR="00EE4620" w:rsidRPr="00EE4620" w:rsidRDefault="00EE4620" w:rsidP="00EE4620">
            <w:pPr>
              <w:autoSpaceDE w:val="0"/>
              <w:autoSpaceDN w:val="0"/>
              <w:adjustRightInd w:val="0"/>
              <w:jc w:val="right"/>
              <w:rPr>
                <w:rFonts w:cs="Arial"/>
                <w:b/>
                <w:color w:val="FFFFFF"/>
                <w:sz w:val="20"/>
              </w:rPr>
            </w:pPr>
            <w:r w:rsidRPr="00EE4620">
              <w:rPr>
                <w:rFonts w:cs="Arial"/>
                <w:b/>
                <w:color w:val="FFFFFF"/>
                <w:sz w:val="20"/>
              </w:rPr>
              <w:t>Role:</w:t>
            </w:r>
          </w:p>
        </w:tc>
        <w:tc>
          <w:tcPr>
            <w:tcW w:w="1276" w:type="dxa"/>
            <w:tcBorders>
              <w:bottom w:val="single" w:sz="8" w:space="0" w:color="000000"/>
            </w:tcBorders>
            <w:shd w:val="clear" w:color="auto" w:fill="000000" w:themeFill="text1"/>
          </w:tcPr>
          <w:p w14:paraId="189079EB" w14:textId="77777777" w:rsidR="00EE4620" w:rsidRPr="00EE4620" w:rsidRDefault="00EE4620" w:rsidP="00EE462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b/>
                <w:color w:val="FFFFFF"/>
                <w:sz w:val="20"/>
              </w:rPr>
            </w:pPr>
            <w:r w:rsidRPr="00EE4620">
              <w:rPr>
                <w:rFonts w:cs="Arial"/>
                <w:b/>
                <w:color w:val="FFFFFF"/>
                <w:sz w:val="20"/>
              </w:rPr>
              <w:t>Chief Executives</w:t>
            </w:r>
          </w:p>
        </w:tc>
        <w:tc>
          <w:tcPr>
            <w:cnfStyle w:val="000010000000" w:firstRow="0" w:lastRow="0" w:firstColumn="0" w:lastColumn="0" w:oddVBand="1" w:evenVBand="0" w:oddHBand="0" w:evenHBand="0" w:firstRowFirstColumn="0" w:firstRowLastColumn="0" w:lastRowFirstColumn="0" w:lastRowLastColumn="0"/>
            <w:tcW w:w="1134" w:type="dxa"/>
            <w:tcBorders>
              <w:bottom w:val="single" w:sz="8" w:space="0" w:color="000000"/>
            </w:tcBorders>
            <w:shd w:val="clear" w:color="auto" w:fill="000000" w:themeFill="text1"/>
          </w:tcPr>
          <w:p w14:paraId="189079EC" w14:textId="77777777" w:rsidR="00EE4620" w:rsidRPr="00EE4620" w:rsidRDefault="00EE4620" w:rsidP="00EE4620">
            <w:pPr>
              <w:autoSpaceDE w:val="0"/>
              <w:autoSpaceDN w:val="0"/>
              <w:adjustRightInd w:val="0"/>
              <w:jc w:val="center"/>
              <w:rPr>
                <w:rFonts w:cs="Arial"/>
                <w:b/>
                <w:color w:val="FFFFFF"/>
                <w:sz w:val="20"/>
              </w:rPr>
            </w:pPr>
            <w:r w:rsidRPr="00EE4620">
              <w:rPr>
                <w:rFonts w:cs="Arial"/>
                <w:b/>
                <w:color w:val="FFFFFF"/>
                <w:sz w:val="20"/>
              </w:rPr>
              <w:t>Directors</w:t>
            </w:r>
          </w:p>
        </w:tc>
        <w:tc>
          <w:tcPr>
            <w:tcW w:w="1134" w:type="dxa"/>
            <w:tcBorders>
              <w:bottom w:val="single" w:sz="8" w:space="0" w:color="000000"/>
            </w:tcBorders>
            <w:shd w:val="clear" w:color="auto" w:fill="000000" w:themeFill="text1"/>
          </w:tcPr>
          <w:p w14:paraId="189079ED" w14:textId="77777777" w:rsidR="00EE4620" w:rsidRPr="00EE4620" w:rsidRDefault="00EE4620" w:rsidP="00EE462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b/>
                <w:color w:val="FFFFFF"/>
                <w:sz w:val="20"/>
              </w:rPr>
            </w:pPr>
            <w:r w:rsidRPr="00EE4620">
              <w:rPr>
                <w:rFonts w:cs="Arial"/>
                <w:b/>
                <w:color w:val="FFFFFF"/>
                <w:sz w:val="20"/>
              </w:rPr>
              <w:t>Leaders</w:t>
            </w:r>
          </w:p>
        </w:tc>
        <w:tc>
          <w:tcPr>
            <w:cnfStyle w:val="000010000000" w:firstRow="0" w:lastRow="0" w:firstColumn="0" w:lastColumn="0" w:oddVBand="1" w:evenVBand="0" w:oddHBand="0" w:evenHBand="0" w:firstRowFirstColumn="0" w:firstRowLastColumn="0" w:lastRowFirstColumn="0" w:lastRowLastColumn="0"/>
            <w:tcW w:w="1134" w:type="dxa"/>
            <w:tcBorders>
              <w:bottom w:val="single" w:sz="8" w:space="0" w:color="000000"/>
            </w:tcBorders>
            <w:shd w:val="clear" w:color="auto" w:fill="000000" w:themeFill="text1"/>
          </w:tcPr>
          <w:p w14:paraId="189079EE" w14:textId="77777777" w:rsidR="00EE4620" w:rsidRPr="00EE4620" w:rsidRDefault="00EE4620" w:rsidP="00EE4620">
            <w:pPr>
              <w:autoSpaceDE w:val="0"/>
              <w:autoSpaceDN w:val="0"/>
              <w:adjustRightInd w:val="0"/>
              <w:jc w:val="center"/>
              <w:rPr>
                <w:rFonts w:cs="Arial"/>
                <w:b/>
                <w:color w:val="FFFFFF"/>
                <w:sz w:val="20"/>
              </w:rPr>
            </w:pPr>
            <w:r w:rsidRPr="00EE4620">
              <w:rPr>
                <w:rFonts w:cs="Arial"/>
                <w:b/>
                <w:color w:val="FFFFFF"/>
                <w:sz w:val="20"/>
              </w:rPr>
              <w:t>Chairs of Scrutiny</w:t>
            </w:r>
          </w:p>
        </w:tc>
        <w:tc>
          <w:tcPr>
            <w:tcW w:w="1134" w:type="dxa"/>
            <w:tcBorders>
              <w:bottom w:val="single" w:sz="8" w:space="0" w:color="000000"/>
            </w:tcBorders>
            <w:shd w:val="clear" w:color="auto" w:fill="000000" w:themeFill="text1"/>
          </w:tcPr>
          <w:p w14:paraId="189079EF" w14:textId="77777777" w:rsidR="00EE4620" w:rsidRPr="00EE4620" w:rsidRDefault="00EE4620" w:rsidP="00EE462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b/>
                <w:color w:val="FFFFFF"/>
                <w:sz w:val="20"/>
              </w:rPr>
            </w:pPr>
            <w:r w:rsidRPr="00EE4620">
              <w:rPr>
                <w:rFonts w:cs="Arial"/>
                <w:b/>
                <w:color w:val="FFFFFF"/>
                <w:sz w:val="20"/>
              </w:rPr>
              <w:t>Portfolio Holders</w:t>
            </w:r>
          </w:p>
        </w:tc>
        <w:tc>
          <w:tcPr>
            <w:cnfStyle w:val="000010000000" w:firstRow="0" w:lastRow="0" w:firstColumn="0" w:lastColumn="0" w:oddVBand="1" w:evenVBand="0" w:oddHBand="0" w:evenHBand="0" w:firstRowFirstColumn="0" w:firstRowLastColumn="0" w:lastRowFirstColumn="0" w:lastRowLastColumn="0"/>
            <w:tcW w:w="1418" w:type="dxa"/>
            <w:tcBorders>
              <w:bottom w:val="single" w:sz="8" w:space="0" w:color="000000"/>
            </w:tcBorders>
            <w:shd w:val="clear" w:color="auto" w:fill="000000" w:themeFill="text1"/>
          </w:tcPr>
          <w:p w14:paraId="189079F0" w14:textId="77777777" w:rsidR="00EE4620" w:rsidRPr="00EE4620" w:rsidRDefault="00EE4620" w:rsidP="00EE4620">
            <w:pPr>
              <w:autoSpaceDE w:val="0"/>
              <w:autoSpaceDN w:val="0"/>
              <w:adjustRightInd w:val="0"/>
              <w:jc w:val="center"/>
              <w:rPr>
                <w:rFonts w:cs="Arial"/>
                <w:b/>
                <w:color w:val="FFFFFF"/>
                <w:sz w:val="20"/>
              </w:rPr>
            </w:pPr>
            <w:r w:rsidRPr="00EE4620">
              <w:rPr>
                <w:rFonts w:cs="Arial"/>
                <w:b/>
                <w:color w:val="FFFFFF"/>
                <w:sz w:val="20"/>
              </w:rPr>
              <w:t>Backbench</w:t>
            </w:r>
          </w:p>
          <w:p w14:paraId="189079F1" w14:textId="77777777" w:rsidR="00EE4620" w:rsidRPr="00EE4620" w:rsidRDefault="00EE4620" w:rsidP="00EE4620">
            <w:pPr>
              <w:autoSpaceDE w:val="0"/>
              <w:autoSpaceDN w:val="0"/>
              <w:adjustRightInd w:val="0"/>
              <w:jc w:val="center"/>
              <w:rPr>
                <w:rFonts w:cs="Arial"/>
                <w:b/>
                <w:color w:val="FFFFFF"/>
                <w:sz w:val="20"/>
              </w:rPr>
            </w:pPr>
            <w:proofErr w:type="spellStart"/>
            <w:r w:rsidRPr="00EE4620">
              <w:rPr>
                <w:rFonts w:cs="Arial"/>
                <w:b/>
                <w:color w:val="FFFFFF"/>
                <w:sz w:val="20"/>
              </w:rPr>
              <w:t>Councillors</w:t>
            </w:r>
            <w:proofErr w:type="spellEnd"/>
          </w:p>
        </w:tc>
        <w:tc>
          <w:tcPr>
            <w:tcW w:w="1134" w:type="dxa"/>
            <w:vMerge/>
            <w:tcBorders>
              <w:bottom w:val="single" w:sz="8" w:space="0" w:color="000000"/>
            </w:tcBorders>
            <w:shd w:val="clear" w:color="auto" w:fill="000000" w:themeFill="text1"/>
          </w:tcPr>
          <w:p w14:paraId="189079F2" w14:textId="77777777" w:rsidR="00EE4620" w:rsidRPr="00EE4620" w:rsidRDefault="00EE4620" w:rsidP="00EE462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p>
        </w:tc>
      </w:tr>
      <w:tr w:rsidR="00EE4620" w:rsidRPr="00EE4620" w14:paraId="189079FD" w14:textId="77777777" w:rsidTr="00E55451">
        <w:trPr>
          <w:cnfStyle w:val="000000100000" w:firstRow="0" w:lastRow="0" w:firstColumn="0" w:lastColumn="0" w:oddVBand="0" w:evenVBand="0" w:oddHBand="1" w:evenHBand="0" w:firstRowFirstColumn="0" w:firstRowLastColumn="0" w:lastRowFirstColumn="0" w:lastRowLastColumn="0"/>
          <w:trHeight w:val="290"/>
        </w:trPr>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14:paraId="189079F4" w14:textId="77777777" w:rsidR="00EE4620" w:rsidRPr="00EE4620" w:rsidRDefault="00EE4620" w:rsidP="00EE4620">
            <w:pPr>
              <w:autoSpaceDE w:val="0"/>
              <w:autoSpaceDN w:val="0"/>
              <w:adjustRightInd w:val="0"/>
              <w:jc w:val="right"/>
              <w:rPr>
                <w:rFonts w:cs="Arial"/>
                <w:color w:val="000000"/>
                <w:sz w:val="20"/>
              </w:rPr>
            </w:pPr>
            <w:r w:rsidRPr="00EE4620">
              <w:rPr>
                <w:rFonts w:cs="Arial"/>
                <w:color w:val="000000"/>
                <w:sz w:val="20"/>
              </w:rPr>
              <w:t>East</w:t>
            </w:r>
          </w:p>
        </w:tc>
        <w:tc>
          <w:tcPr>
            <w:tcW w:w="1276" w:type="dxa"/>
            <w:tcBorders>
              <w:top w:val="none" w:sz="0" w:space="0" w:color="auto"/>
              <w:bottom w:val="none" w:sz="0" w:space="0" w:color="auto"/>
            </w:tcBorders>
            <w:vAlign w:val="center"/>
          </w:tcPr>
          <w:p w14:paraId="189079F5" w14:textId="77777777" w:rsidR="00EE4620" w:rsidRPr="00EE4620" w:rsidRDefault="00EE4620" w:rsidP="00EE462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EE4620">
              <w:rPr>
                <w:rFonts w:cs="Arial"/>
                <w:color w:val="000000"/>
                <w:sz w:val="20"/>
              </w:rPr>
              <w:t>14</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14:paraId="189079F6" w14:textId="77777777" w:rsidR="00EE4620" w:rsidRPr="00EE4620" w:rsidRDefault="00EE4620" w:rsidP="00EE4620">
            <w:pPr>
              <w:autoSpaceDE w:val="0"/>
              <w:autoSpaceDN w:val="0"/>
              <w:adjustRightInd w:val="0"/>
              <w:jc w:val="center"/>
              <w:rPr>
                <w:rFonts w:cs="Arial"/>
                <w:color w:val="000000"/>
                <w:sz w:val="20"/>
              </w:rPr>
            </w:pPr>
            <w:r w:rsidRPr="00EE4620">
              <w:rPr>
                <w:rFonts w:cs="Arial"/>
                <w:color w:val="000000"/>
                <w:sz w:val="20"/>
              </w:rPr>
              <w:t>38</w:t>
            </w:r>
          </w:p>
        </w:tc>
        <w:tc>
          <w:tcPr>
            <w:tcW w:w="1134" w:type="dxa"/>
            <w:tcBorders>
              <w:top w:val="none" w:sz="0" w:space="0" w:color="auto"/>
              <w:bottom w:val="none" w:sz="0" w:space="0" w:color="auto"/>
            </w:tcBorders>
            <w:vAlign w:val="center"/>
          </w:tcPr>
          <w:p w14:paraId="189079F7" w14:textId="77777777" w:rsidR="00EE4620" w:rsidRPr="00EE4620" w:rsidRDefault="00EE4620" w:rsidP="00EE462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EE4620">
              <w:rPr>
                <w:rFonts w:cs="Arial"/>
                <w:color w:val="000000"/>
                <w:sz w:val="20"/>
              </w:rPr>
              <w:t>11</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14:paraId="189079F8" w14:textId="77777777" w:rsidR="00EE4620" w:rsidRPr="00EE4620" w:rsidRDefault="00EE4620" w:rsidP="00EE4620">
            <w:pPr>
              <w:autoSpaceDE w:val="0"/>
              <w:autoSpaceDN w:val="0"/>
              <w:adjustRightInd w:val="0"/>
              <w:jc w:val="center"/>
              <w:rPr>
                <w:rFonts w:cs="Arial"/>
                <w:color w:val="000000"/>
                <w:sz w:val="20"/>
              </w:rPr>
            </w:pPr>
            <w:r w:rsidRPr="00EE4620">
              <w:rPr>
                <w:rFonts w:cs="Arial"/>
                <w:color w:val="000000"/>
                <w:sz w:val="20"/>
              </w:rPr>
              <w:t>14</w:t>
            </w:r>
          </w:p>
        </w:tc>
        <w:tc>
          <w:tcPr>
            <w:tcW w:w="1134" w:type="dxa"/>
            <w:tcBorders>
              <w:top w:val="none" w:sz="0" w:space="0" w:color="auto"/>
              <w:bottom w:val="none" w:sz="0" w:space="0" w:color="auto"/>
            </w:tcBorders>
            <w:vAlign w:val="center"/>
          </w:tcPr>
          <w:p w14:paraId="189079F9" w14:textId="77777777" w:rsidR="00EE4620" w:rsidRPr="00EE4620" w:rsidRDefault="00EE4620" w:rsidP="00EE462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EE4620">
              <w:rPr>
                <w:rFonts w:cs="Arial"/>
                <w:color w:val="000000"/>
                <w:sz w:val="20"/>
              </w:rPr>
              <w:t>8</w:t>
            </w:r>
          </w:p>
        </w:tc>
        <w:tc>
          <w:tcPr>
            <w:cnfStyle w:val="000010000000" w:firstRow="0" w:lastRow="0" w:firstColumn="0" w:lastColumn="0" w:oddVBand="1"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vAlign w:val="center"/>
          </w:tcPr>
          <w:p w14:paraId="189079FA" w14:textId="77777777" w:rsidR="00EE4620" w:rsidRPr="00EE4620" w:rsidRDefault="00EE4620" w:rsidP="00EE4620">
            <w:pPr>
              <w:autoSpaceDE w:val="0"/>
              <w:autoSpaceDN w:val="0"/>
              <w:adjustRightInd w:val="0"/>
              <w:jc w:val="center"/>
              <w:rPr>
                <w:rFonts w:cs="Arial"/>
                <w:color w:val="000000"/>
                <w:sz w:val="20"/>
              </w:rPr>
            </w:pPr>
            <w:r w:rsidRPr="00EE4620">
              <w:rPr>
                <w:rFonts w:cs="Arial"/>
                <w:color w:val="000000"/>
                <w:sz w:val="20"/>
              </w:rPr>
              <w:t>41</w:t>
            </w:r>
          </w:p>
        </w:tc>
        <w:tc>
          <w:tcPr>
            <w:tcW w:w="1134" w:type="dxa"/>
            <w:tcBorders>
              <w:top w:val="none" w:sz="0" w:space="0" w:color="auto"/>
              <w:bottom w:val="none" w:sz="0" w:space="0" w:color="auto"/>
              <w:right w:val="none" w:sz="0" w:space="0" w:color="auto"/>
            </w:tcBorders>
            <w:vAlign w:val="center"/>
          </w:tcPr>
          <w:p w14:paraId="189079FB" w14:textId="77777777" w:rsidR="00EE4620" w:rsidRPr="00EE4620" w:rsidRDefault="00EE4620" w:rsidP="00EE462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EE4620">
              <w:rPr>
                <w:rFonts w:cs="Arial"/>
                <w:color w:val="000000"/>
                <w:sz w:val="20"/>
              </w:rPr>
              <w:t>126</w:t>
            </w:r>
          </w:p>
          <w:p w14:paraId="189079FC" w14:textId="77777777" w:rsidR="00EE4620" w:rsidRPr="00EE4620" w:rsidRDefault="00EE4620" w:rsidP="00EE462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EE4620">
              <w:rPr>
                <w:rFonts w:cs="Arial"/>
                <w:color w:val="000000"/>
                <w:sz w:val="20"/>
              </w:rPr>
              <w:t>(14%)</w:t>
            </w:r>
          </w:p>
        </w:tc>
      </w:tr>
      <w:tr w:rsidR="00EE4620" w:rsidRPr="00EE4620" w14:paraId="18907A07" w14:textId="77777777" w:rsidTr="00E55451">
        <w:trPr>
          <w:trHeight w:val="290"/>
        </w:trPr>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14:paraId="189079FE" w14:textId="77777777" w:rsidR="00EE4620" w:rsidRPr="00EE4620" w:rsidRDefault="00EE4620" w:rsidP="00EE4620">
            <w:pPr>
              <w:autoSpaceDE w:val="0"/>
              <w:autoSpaceDN w:val="0"/>
              <w:adjustRightInd w:val="0"/>
              <w:jc w:val="right"/>
              <w:rPr>
                <w:rFonts w:cs="Arial"/>
                <w:color w:val="000000"/>
                <w:sz w:val="20"/>
              </w:rPr>
            </w:pPr>
            <w:r w:rsidRPr="00EE4620">
              <w:rPr>
                <w:rFonts w:cs="Arial"/>
                <w:color w:val="000000"/>
                <w:sz w:val="20"/>
              </w:rPr>
              <w:t>East Midlands</w:t>
            </w:r>
          </w:p>
        </w:tc>
        <w:tc>
          <w:tcPr>
            <w:tcW w:w="1276" w:type="dxa"/>
            <w:vAlign w:val="center"/>
          </w:tcPr>
          <w:p w14:paraId="189079FF" w14:textId="77777777" w:rsidR="00EE4620" w:rsidRPr="00EE4620" w:rsidRDefault="00EE4620" w:rsidP="00EE462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EE4620">
              <w:rPr>
                <w:rFonts w:cs="Arial"/>
                <w:color w:val="000000"/>
                <w:sz w:val="20"/>
              </w:rPr>
              <w:t>13</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vAlign w:val="center"/>
          </w:tcPr>
          <w:p w14:paraId="18907A00" w14:textId="77777777" w:rsidR="00EE4620" w:rsidRPr="00EE4620" w:rsidRDefault="00EE4620" w:rsidP="00EE4620">
            <w:pPr>
              <w:autoSpaceDE w:val="0"/>
              <w:autoSpaceDN w:val="0"/>
              <w:adjustRightInd w:val="0"/>
              <w:jc w:val="center"/>
              <w:rPr>
                <w:rFonts w:cs="Arial"/>
                <w:color w:val="000000"/>
                <w:sz w:val="20"/>
              </w:rPr>
            </w:pPr>
            <w:r w:rsidRPr="00EE4620">
              <w:rPr>
                <w:rFonts w:cs="Arial"/>
                <w:color w:val="000000"/>
                <w:sz w:val="20"/>
              </w:rPr>
              <w:t>25</w:t>
            </w:r>
          </w:p>
        </w:tc>
        <w:tc>
          <w:tcPr>
            <w:tcW w:w="1134" w:type="dxa"/>
            <w:vAlign w:val="center"/>
          </w:tcPr>
          <w:p w14:paraId="18907A01" w14:textId="77777777" w:rsidR="00EE4620" w:rsidRPr="00EE4620" w:rsidRDefault="00EE4620" w:rsidP="00EE462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EE4620">
              <w:rPr>
                <w:rFonts w:cs="Arial"/>
                <w:color w:val="000000"/>
                <w:sz w:val="20"/>
              </w:rPr>
              <w:t>11</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vAlign w:val="center"/>
          </w:tcPr>
          <w:p w14:paraId="18907A02" w14:textId="77777777" w:rsidR="00EE4620" w:rsidRPr="00EE4620" w:rsidRDefault="00EE4620" w:rsidP="00EE4620">
            <w:pPr>
              <w:autoSpaceDE w:val="0"/>
              <w:autoSpaceDN w:val="0"/>
              <w:adjustRightInd w:val="0"/>
              <w:jc w:val="center"/>
              <w:rPr>
                <w:rFonts w:cs="Arial"/>
                <w:color w:val="000000"/>
                <w:sz w:val="20"/>
              </w:rPr>
            </w:pPr>
            <w:r w:rsidRPr="00EE4620">
              <w:rPr>
                <w:rFonts w:cs="Arial"/>
                <w:color w:val="000000"/>
                <w:sz w:val="20"/>
              </w:rPr>
              <w:t>12</w:t>
            </w:r>
          </w:p>
        </w:tc>
        <w:tc>
          <w:tcPr>
            <w:tcW w:w="1134" w:type="dxa"/>
            <w:vAlign w:val="center"/>
          </w:tcPr>
          <w:p w14:paraId="18907A03" w14:textId="77777777" w:rsidR="00EE4620" w:rsidRPr="00EE4620" w:rsidRDefault="00EE4620" w:rsidP="00EE462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EE4620">
              <w:rPr>
                <w:rFonts w:cs="Arial"/>
                <w:color w:val="000000"/>
                <w:sz w:val="20"/>
              </w:rPr>
              <w:t>10</w:t>
            </w:r>
          </w:p>
        </w:tc>
        <w:tc>
          <w:tcPr>
            <w:cnfStyle w:val="000010000000" w:firstRow="0" w:lastRow="0" w:firstColumn="0" w:lastColumn="0" w:oddVBand="1" w:evenVBand="0" w:oddHBand="0" w:evenHBand="0" w:firstRowFirstColumn="0" w:firstRowLastColumn="0" w:lastRowFirstColumn="0" w:lastRowLastColumn="0"/>
            <w:tcW w:w="1418" w:type="dxa"/>
            <w:tcBorders>
              <w:left w:val="none" w:sz="0" w:space="0" w:color="auto"/>
              <w:right w:val="none" w:sz="0" w:space="0" w:color="auto"/>
            </w:tcBorders>
            <w:vAlign w:val="center"/>
          </w:tcPr>
          <w:p w14:paraId="18907A04" w14:textId="77777777" w:rsidR="00EE4620" w:rsidRPr="00EE4620" w:rsidRDefault="00EE4620" w:rsidP="00EE4620">
            <w:pPr>
              <w:autoSpaceDE w:val="0"/>
              <w:autoSpaceDN w:val="0"/>
              <w:adjustRightInd w:val="0"/>
              <w:jc w:val="center"/>
              <w:rPr>
                <w:rFonts w:cs="Arial"/>
                <w:color w:val="000000"/>
                <w:sz w:val="20"/>
              </w:rPr>
            </w:pPr>
            <w:r w:rsidRPr="00EE4620">
              <w:rPr>
                <w:rFonts w:cs="Arial"/>
                <w:color w:val="000000"/>
                <w:sz w:val="20"/>
              </w:rPr>
              <w:t>42</w:t>
            </w:r>
          </w:p>
        </w:tc>
        <w:tc>
          <w:tcPr>
            <w:tcW w:w="1134" w:type="dxa"/>
            <w:vAlign w:val="center"/>
          </w:tcPr>
          <w:p w14:paraId="18907A05" w14:textId="77777777" w:rsidR="00EE4620" w:rsidRPr="00EE4620" w:rsidRDefault="00EE4620" w:rsidP="00EE462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EE4620">
              <w:rPr>
                <w:rFonts w:cs="Arial"/>
                <w:color w:val="000000"/>
                <w:sz w:val="20"/>
              </w:rPr>
              <w:t>113</w:t>
            </w:r>
          </w:p>
          <w:p w14:paraId="18907A06" w14:textId="77777777" w:rsidR="00EE4620" w:rsidRPr="00EE4620" w:rsidRDefault="00EE4620" w:rsidP="00EE462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EE4620">
              <w:rPr>
                <w:rFonts w:cs="Arial"/>
                <w:color w:val="000000"/>
                <w:sz w:val="20"/>
              </w:rPr>
              <w:t>(12%)</w:t>
            </w:r>
          </w:p>
        </w:tc>
      </w:tr>
      <w:tr w:rsidR="00EE4620" w:rsidRPr="00EE4620" w14:paraId="18907A11" w14:textId="77777777" w:rsidTr="00E55451">
        <w:trPr>
          <w:cnfStyle w:val="000000100000" w:firstRow="0" w:lastRow="0" w:firstColumn="0" w:lastColumn="0" w:oddVBand="0" w:evenVBand="0" w:oddHBand="1" w:evenHBand="0" w:firstRowFirstColumn="0" w:firstRowLastColumn="0" w:lastRowFirstColumn="0" w:lastRowLastColumn="0"/>
          <w:trHeight w:val="290"/>
        </w:trPr>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14:paraId="18907A08" w14:textId="77777777" w:rsidR="00EE4620" w:rsidRPr="00EE4620" w:rsidRDefault="00EE4620" w:rsidP="00EE4620">
            <w:pPr>
              <w:autoSpaceDE w:val="0"/>
              <w:autoSpaceDN w:val="0"/>
              <w:adjustRightInd w:val="0"/>
              <w:jc w:val="right"/>
              <w:rPr>
                <w:rFonts w:cs="Arial"/>
                <w:color w:val="000000"/>
                <w:sz w:val="20"/>
              </w:rPr>
            </w:pPr>
            <w:r w:rsidRPr="00EE4620">
              <w:rPr>
                <w:rFonts w:cs="Arial"/>
                <w:color w:val="000000"/>
                <w:sz w:val="20"/>
              </w:rPr>
              <w:t>London</w:t>
            </w:r>
          </w:p>
        </w:tc>
        <w:tc>
          <w:tcPr>
            <w:tcW w:w="1276" w:type="dxa"/>
            <w:tcBorders>
              <w:top w:val="none" w:sz="0" w:space="0" w:color="auto"/>
              <w:bottom w:val="none" w:sz="0" w:space="0" w:color="auto"/>
            </w:tcBorders>
            <w:vAlign w:val="center"/>
          </w:tcPr>
          <w:p w14:paraId="18907A09" w14:textId="77777777" w:rsidR="00EE4620" w:rsidRPr="00EE4620" w:rsidRDefault="00EE4620" w:rsidP="00EE462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EE4620">
              <w:rPr>
                <w:rFonts w:cs="Arial"/>
                <w:color w:val="000000"/>
                <w:sz w:val="20"/>
              </w:rPr>
              <w:t>6</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14:paraId="18907A0A" w14:textId="77777777" w:rsidR="00EE4620" w:rsidRPr="00EE4620" w:rsidRDefault="00EE4620" w:rsidP="00EE4620">
            <w:pPr>
              <w:autoSpaceDE w:val="0"/>
              <w:autoSpaceDN w:val="0"/>
              <w:adjustRightInd w:val="0"/>
              <w:jc w:val="center"/>
              <w:rPr>
                <w:rFonts w:cs="Arial"/>
                <w:color w:val="000000"/>
                <w:sz w:val="20"/>
              </w:rPr>
            </w:pPr>
            <w:r w:rsidRPr="00EE4620">
              <w:rPr>
                <w:rFonts w:cs="Arial"/>
                <w:color w:val="000000"/>
                <w:sz w:val="20"/>
              </w:rPr>
              <w:t>31</w:t>
            </w:r>
          </w:p>
        </w:tc>
        <w:tc>
          <w:tcPr>
            <w:tcW w:w="1134" w:type="dxa"/>
            <w:tcBorders>
              <w:top w:val="none" w:sz="0" w:space="0" w:color="auto"/>
              <w:bottom w:val="none" w:sz="0" w:space="0" w:color="auto"/>
            </w:tcBorders>
            <w:vAlign w:val="center"/>
          </w:tcPr>
          <w:p w14:paraId="18907A0B" w14:textId="77777777" w:rsidR="00EE4620" w:rsidRPr="00EE4620" w:rsidRDefault="00EE4620" w:rsidP="00EE462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EE4620">
              <w:rPr>
                <w:rFonts w:cs="Arial"/>
                <w:color w:val="000000"/>
                <w:sz w:val="20"/>
              </w:rPr>
              <w:t>2</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14:paraId="18907A0C" w14:textId="77777777" w:rsidR="00EE4620" w:rsidRPr="00EE4620" w:rsidRDefault="00EE4620" w:rsidP="00EE4620">
            <w:pPr>
              <w:autoSpaceDE w:val="0"/>
              <w:autoSpaceDN w:val="0"/>
              <w:adjustRightInd w:val="0"/>
              <w:jc w:val="center"/>
              <w:rPr>
                <w:rFonts w:cs="Arial"/>
                <w:color w:val="000000"/>
                <w:sz w:val="20"/>
              </w:rPr>
            </w:pPr>
            <w:r w:rsidRPr="00EE4620">
              <w:rPr>
                <w:rFonts w:cs="Arial"/>
                <w:color w:val="000000"/>
                <w:sz w:val="20"/>
              </w:rPr>
              <w:t>11</w:t>
            </w:r>
          </w:p>
        </w:tc>
        <w:tc>
          <w:tcPr>
            <w:tcW w:w="1134" w:type="dxa"/>
            <w:tcBorders>
              <w:top w:val="none" w:sz="0" w:space="0" w:color="auto"/>
              <w:bottom w:val="none" w:sz="0" w:space="0" w:color="auto"/>
            </w:tcBorders>
            <w:vAlign w:val="center"/>
          </w:tcPr>
          <w:p w14:paraId="18907A0D" w14:textId="77777777" w:rsidR="00EE4620" w:rsidRPr="00EE4620" w:rsidRDefault="00EE4620" w:rsidP="00EE462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EE4620">
              <w:rPr>
                <w:rFonts w:cs="Arial"/>
                <w:color w:val="000000"/>
                <w:sz w:val="20"/>
              </w:rPr>
              <w:t>11</w:t>
            </w:r>
          </w:p>
        </w:tc>
        <w:tc>
          <w:tcPr>
            <w:cnfStyle w:val="000010000000" w:firstRow="0" w:lastRow="0" w:firstColumn="0" w:lastColumn="0" w:oddVBand="1"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vAlign w:val="center"/>
          </w:tcPr>
          <w:p w14:paraId="18907A0E" w14:textId="77777777" w:rsidR="00EE4620" w:rsidRPr="00EE4620" w:rsidRDefault="00EE4620" w:rsidP="00EE4620">
            <w:pPr>
              <w:autoSpaceDE w:val="0"/>
              <w:autoSpaceDN w:val="0"/>
              <w:adjustRightInd w:val="0"/>
              <w:jc w:val="center"/>
              <w:rPr>
                <w:rFonts w:cs="Arial"/>
                <w:color w:val="000000"/>
                <w:sz w:val="20"/>
              </w:rPr>
            </w:pPr>
            <w:r w:rsidRPr="00EE4620">
              <w:rPr>
                <w:rFonts w:cs="Arial"/>
                <w:color w:val="000000"/>
                <w:sz w:val="20"/>
              </w:rPr>
              <w:t>30</w:t>
            </w:r>
          </w:p>
        </w:tc>
        <w:tc>
          <w:tcPr>
            <w:tcW w:w="1134" w:type="dxa"/>
            <w:tcBorders>
              <w:top w:val="none" w:sz="0" w:space="0" w:color="auto"/>
              <w:bottom w:val="none" w:sz="0" w:space="0" w:color="auto"/>
              <w:right w:val="none" w:sz="0" w:space="0" w:color="auto"/>
            </w:tcBorders>
            <w:vAlign w:val="center"/>
          </w:tcPr>
          <w:p w14:paraId="18907A0F" w14:textId="77777777" w:rsidR="00EE4620" w:rsidRPr="00EE4620" w:rsidRDefault="00EE4620" w:rsidP="00EE462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EE4620">
              <w:rPr>
                <w:rFonts w:cs="Arial"/>
                <w:color w:val="000000"/>
                <w:sz w:val="20"/>
              </w:rPr>
              <w:t>91</w:t>
            </w:r>
          </w:p>
          <w:p w14:paraId="18907A10" w14:textId="77777777" w:rsidR="00EE4620" w:rsidRPr="00EE4620" w:rsidRDefault="00EE4620" w:rsidP="00EE462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EE4620">
              <w:rPr>
                <w:rFonts w:cs="Arial"/>
                <w:color w:val="000000"/>
                <w:sz w:val="20"/>
              </w:rPr>
              <w:t>(10%)</w:t>
            </w:r>
          </w:p>
        </w:tc>
      </w:tr>
      <w:tr w:rsidR="00EE4620" w:rsidRPr="00EE4620" w14:paraId="18907A1B" w14:textId="77777777" w:rsidTr="00E55451">
        <w:trPr>
          <w:trHeight w:val="290"/>
        </w:trPr>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14:paraId="18907A12" w14:textId="77777777" w:rsidR="00EE4620" w:rsidRPr="00EE4620" w:rsidRDefault="00EE4620" w:rsidP="00EE4620">
            <w:pPr>
              <w:autoSpaceDE w:val="0"/>
              <w:autoSpaceDN w:val="0"/>
              <w:adjustRightInd w:val="0"/>
              <w:jc w:val="right"/>
              <w:rPr>
                <w:rFonts w:cs="Arial"/>
                <w:color w:val="000000"/>
                <w:sz w:val="20"/>
              </w:rPr>
            </w:pPr>
            <w:r w:rsidRPr="00EE4620">
              <w:rPr>
                <w:rFonts w:cs="Arial"/>
                <w:color w:val="000000"/>
                <w:sz w:val="20"/>
              </w:rPr>
              <w:t>North East</w:t>
            </w:r>
          </w:p>
        </w:tc>
        <w:tc>
          <w:tcPr>
            <w:tcW w:w="1276" w:type="dxa"/>
            <w:vAlign w:val="center"/>
          </w:tcPr>
          <w:p w14:paraId="18907A13" w14:textId="77777777" w:rsidR="00EE4620" w:rsidRPr="00EE4620" w:rsidRDefault="00EE4620" w:rsidP="00EE462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EE4620">
              <w:rPr>
                <w:rFonts w:cs="Arial"/>
                <w:color w:val="000000"/>
                <w:sz w:val="20"/>
              </w:rPr>
              <w:t>5</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vAlign w:val="center"/>
          </w:tcPr>
          <w:p w14:paraId="18907A14" w14:textId="77777777" w:rsidR="00EE4620" w:rsidRPr="00EE4620" w:rsidRDefault="00EE4620" w:rsidP="00EE4620">
            <w:pPr>
              <w:autoSpaceDE w:val="0"/>
              <w:autoSpaceDN w:val="0"/>
              <w:adjustRightInd w:val="0"/>
              <w:jc w:val="center"/>
              <w:rPr>
                <w:rFonts w:cs="Arial"/>
                <w:color w:val="000000"/>
                <w:sz w:val="20"/>
              </w:rPr>
            </w:pPr>
            <w:r w:rsidRPr="00EE4620">
              <w:rPr>
                <w:rFonts w:cs="Arial"/>
                <w:color w:val="000000"/>
                <w:sz w:val="20"/>
              </w:rPr>
              <w:t>11</w:t>
            </w:r>
          </w:p>
        </w:tc>
        <w:tc>
          <w:tcPr>
            <w:tcW w:w="1134" w:type="dxa"/>
            <w:vAlign w:val="center"/>
          </w:tcPr>
          <w:p w14:paraId="18907A15" w14:textId="77777777" w:rsidR="00EE4620" w:rsidRPr="00EE4620" w:rsidRDefault="00EE4620" w:rsidP="00EE462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EE4620">
              <w:rPr>
                <w:rFonts w:cs="Arial"/>
                <w:color w:val="000000"/>
                <w:sz w:val="20"/>
              </w:rPr>
              <w:t>3</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vAlign w:val="center"/>
          </w:tcPr>
          <w:p w14:paraId="18907A16" w14:textId="77777777" w:rsidR="00EE4620" w:rsidRPr="00EE4620" w:rsidRDefault="00EE4620" w:rsidP="00EE4620">
            <w:pPr>
              <w:autoSpaceDE w:val="0"/>
              <w:autoSpaceDN w:val="0"/>
              <w:adjustRightInd w:val="0"/>
              <w:jc w:val="center"/>
              <w:rPr>
                <w:rFonts w:cs="Arial"/>
                <w:color w:val="000000"/>
                <w:sz w:val="20"/>
              </w:rPr>
            </w:pPr>
            <w:r w:rsidRPr="00EE4620">
              <w:rPr>
                <w:rFonts w:cs="Arial"/>
                <w:color w:val="000000"/>
                <w:sz w:val="20"/>
              </w:rPr>
              <w:t>6</w:t>
            </w:r>
          </w:p>
        </w:tc>
        <w:tc>
          <w:tcPr>
            <w:tcW w:w="1134" w:type="dxa"/>
            <w:vAlign w:val="center"/>
          </w:tcPr>
          <w:p w14:paraId="18907A17" w14:textId="77777777" w:rsidR="00EE4620" w:rsidRPr="00EE4620" w:rsidRDefault="00EE4620" w:rsidP="00EE462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EE4620">
              <w:rPr>
                <w:rFonts w:cs="Arial"/>
                <w:color w:val="000000"/>
                <w:sz w:val="20"/>
              </w:rPr>
              <w:t>11</w:t>
            </w:r>
          </w:p>
        </w:tc>
        <w:tc>
          <w:tcPr>
            <w:cnfStyle w:val="000010000000" w:firstRow="0" w:lastRow="0" w:firstColumn="0" w:lastColumn="0" w:oddVBand="1" w:evenVBand="0" w:oddHBand="0" w:evenHBand="0" w:firstRowFirstColumn="0" w:firstRowLastColumn="0" w:lastRowFirstColumn="0" w:lastRowLastColumn="0"/>
            <w:tcW w:w="1418" w:type="dxa"/>
            <w:tcBorders>
              <w:left w:val="none" w:sz="0" w:space="0" w:color="auto"/>
              <w:right w:val="none" w:sz="0" w:space="0" w:color="auto"/>
            </w:tcBorders>
            <w:vAlign w:val="center"/>
          </w:tcPr>
          <w:p w14:paraId="18907A18" w14:textId="77777777" w:rsidR="00EE4620" w:rsidRPr="00EE4620" w:rsidRDefault="00EE4620" w:rsidP="00EE4620">
            <w:pPr>
              <w:autoSpaceDE w:val="0"/>
              <w:autoSpaceDN w:val="0"/>
              <w:adjustRightInd w:val="0"/>
              <w:jc w:val="center"/>
              <w:rPr>
                <w:rFonts w:cs="Arial"/>
                <w:color w:val="000000"/>
                <w:sz w:val="20"/>
              </w:rPr>
            </w:pPr>
            <w:r w:rsidRPr="00EE4620">
              <w:rPr>
                <w:rFonts w:cs="Arial"/>
                <w:color w:val="000000"/>
                <w:sz w:val="20"/>
              </w:rPr>
              <w:t>30</w:t>
            </w:r>
          </w:p>
        </w:tc>
        <w:tc>
          <w:tcPr>
            <w:tcW w:w="1134" w:type="dxa"/>
            <w:vAlign w:val="center"/>
          </w:tcPr>
          <w:p w14:paraId="18907A19" w14:textId="77777777" w:rsidR="00EE4620" w:rsidRPr="00EE4620" w:rsidRDefault="00EE4620" w:rsidP="00EE462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EE4620">
              <w:rPr>
                <w:rFonts w:cs="Arial"/>
                <w:color w:val="000000"/>
                <w:sz w:val="20"/>
              </w:rPr>
              <w:t>66</w:t>
            </w:r>
          </w:p>
          <w:p w14:paraId="18907A1A" w14:textId="77777777" w:rsidR="00EE4620" w:rsidRPr="00EE4620" w:rsidRDefault="00EE4620" w:rsidP="00EE462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EE4620">
              <w:rPr>
                <w:rFonts w:cs="Arial"/>
                <w:color w:val="000000"/>
                <w:sz w:val="20"/>
              </w:rPr>
              <w:t>(7%)</w:t>
            </w:r>
          </w:p>
        </w:tc>
      </w:tr>
      <w:tr w:rsidR="00EE4620" w:rsidRPr="00EE4620" w14:paraId="18907A25" w14:textId="77777777" w:rsidTr="00E55451">
        <w:trPr>
          <w:cnfStyle w:val="000000100000" w:firstRow="0" w:lastRow="0" w:firstColumn="0" w:lastColumn="0" w:oddVBand="0" w:evenVBand="0" w:oddHBand="1" w:evenHBand="0" w:firstRowFirstColumn="0" w:firstRowLastColumn="0" w:lastRowFirstColumn="0" w:lastRowLastColumn="0"/>
          <w:trHeight w:val="290"/>
        </w:trPr>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14:paraId="18907A1C" w14:textId="77777777" w:rsidR="00EE4620" w:rsidRPr="00EE4620" w:rsidRDefault="00EE4620" w:rsidP="00EE4620">
            <w:pPr>
              <w:autoSpaceDE w:val="0"/>
              <w:autoSpaceDN w:val="0"/>
              <w:adjustRightInd w:val="0"/>
              <w:jc w:val="right"/>
              <w:rPr>
                <w:rFonts w:cs="Arial"/>
                <w:color w:val="000000"/>
                <w:sz w:val="20"/>
              </w:rPr>
            </w:pPr>
            <w:r w:rsidRPr="00EE4620">
              <w:rPr>
                <w:rFonts w:cs="Arial"/>
                <w:color w:val="000000"/>
                <w:sz w:val="20"/>
              </w:rPr>
              <w:t>North West</w:t>
            </w:r>
          </w:p>
        </w:tc>
        <w:tc>
          <w:tcPr>
            <w:tcW w:w="1276" w:type="dxa"/>
            <w:tcBorders>
              <w:top w:val="none" w:sz="0" w:space="0" w:color="auto"/>
              <w:bottom w:val="none" w:sz="0" w:space="0" w:color="auto"/>
            </w:tcBorders>
            <w:vAlign w:val="center"/>
          </w:tcPr>
          <w:p w14:paraId="18907A1D" w14:textId="77777777" w:rsidR="00EE4620" w:rsidRPr="00EE4620" w:rsidRDefault="00EE4620" w:rsidP="00EE462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EE4620">
              <w:rPr>
                <w:rFonts w:cs="Arial"/>
                <w:color w:val="000000"/>
                <w:sz w:val="20"/>
              </w:rPr>
              <w:t>11</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14:paraId="18907A1E" w14:textId="77777777" w:rsidR="00EE4620" w:rsidRPr="00EE4620" w:rsidRDefault="00EE4620" w:rsidP="00EE4620">
            <w:pPr>
              <w:autoSpaceDE w:val="0"/>
              <w:autoSpaceDN w:val="0"/>
              <w:adjustRightInd w:val="0"/>
              <w:jc w:val="center"/>
              <w:rPr>
                <w:rFonts w:cs="Arial"/>
                <w:color w:val="000000"/>
                <w:sz w:val="20"/>
              </w:rPr>
            </w:pPr>
            <w:r w:rsidRPr="00EE4620">
              <w:rPr>
                <w:rFonts w:cs="Arial"/>
                <w:color w:val="000000"/>
                <w:sz w:val="20"/>
              </w:rPr>
              <w:t>23</w:t>
            </w:r>
          </w:p>
        </w:tc>
        <w:tc>
          <w:tcPr>
            <w:tcW w:w="1134" w:type="dxa"/>
            <w:tcBorders>
              <w:top w:val="none" w:sz="0" w:space="0" w:color="auto"/>
              <w:bottom w:val="none" w:sz="0" w:space="0" w:color="auto"/>
            </w:tcBorders>
            <w:vAlign w:val="center"/>
          </w:tcPr>
          <w:p w14:paraId="18907A1F" w14:textId="77777777" w:rsidR="00EE4620" w:rsidRPr="00EE4620" w:rsidRDefault="00EE4620" w:rsidP="00EE462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EE4620">
              <w:rPr>
                <w:rFonts w:cs="Arial"/>
                <w:color w:val="000000"/>
                <w:sz w:val="20"/>
              </w:rPr>
              <w:t>8</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14:paraId="18907A20" w14:textId="77777777" w:rsidR="00EE4620" w:rsidRPr="00EE4620" w:rsidRDefault="00EE4620" w:rsidP="00EE4620">
            <w:pPr>
              <w:autoSpaceDE w:val="0"/>
              <w:autoSpaceDN w:val="0"/>
              <w:adjustRightInd w:val="0"/>
              <w:jc w:val="center"/>
              <w:rPr>
                <w:rFonts w:cs="Arial"/>
                <w:color w:val="000000"/>
                <w:sz w:val="20"/>
              </w:rPr>
            </w:pPr>
            <w:r w:rsidRPr="00EE4620">
              <w:rPr>
                <w:rFonts w:cs="Arial"/>
                <w:color w:val="000000"/>
                <w:sz w:val="20"/>
              </w:rPr>
              <w:t>10</w:t>
            </w:r>
          </w:p>
        </w:tc>
        <w:tc>
          <w:tcPr>
            <w:tcW w:w="1134" w:type="dxa"/>
            <w:tcBorders>
              <w:top w:val="none" w:sz="0" w:space="0" w:color="auto"/>
              <w:bottom w:val="none" w:sz="0" w:space="0" w:color="auto"/>
            </w:tcBorders>
            <w:vAlign w:val="center"/>
          </w:tcPr>
          <w:p w14:paraId="18907A21" w14:textId="77777777" w:rsidR="00EE4620" w:rsidRPr="00EE4620" w:rsidRDefault="00EE4620" w:rsidP="00EE462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EE4620">
              <w:rPr>
                <w:rFonts w:cs="Arial"/>
                <w:color w:val="000000"/>
                <w:sz w:val="20"/>
              </w:rPr>
              <w:t>11</w:t>
            </w:r>
          </w:p>
        </w:tc>
        <w:tc>
          <w:tcPr>
            <w:cnfStyle w:val="000010000000" w:firstRow="0" w:lastRow="0" w:firstColumn="0" w:lastColumn="0" w:oddVBand="1"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vAlign w:val="center"/>
          </w:tcPr>
          <w:p w14:paraId="18907A22" w14:textId="77777777" w:rsidR="00EE4620" w:rsidRPr="00EE4620" w:rsidRDefault="00EE4620" w:rsidP="00EE4620">
            <w:pPr>
              <w:autoSpaceDE w:val="0"/>
              <w:autoSpaceDN w:val="0"/>
              <w:adjustRightInd w:val="0"/>
              <w:jc w:val="center"/>
              <w:rPr>
                <w:rFonts w:cs="Arial"/>
                <w:color w:val="000000"/>
                <w:sz w:val="20"/>
              </w:rPr>
            </w:pPr>
            <w:r w:rsidRPr="00EE4620">
              <w:rPr>
                <w:rFonts w:cs="Arial"/>
                <w:color w:val="000000"/>
                <w:sz w:val="20"/>
              </w:rPr>
              <w:t>30</w:t>
            </w:r>
          </w:p>
        </w:tc>
        <w:tc>
          <w:tcPr>
            <w:tcW w:w="1134" w:type="dxa"/>
            <w:tcBorders>
              <w:top w:val="none" w:sz="0" w:space="0" w:color="auto"/>
              <w:bottom w:val="none" w:sz="0" w:space="0" w:color="auto"/>
              <w:right w:val="none" w:sz="0" w:space="0" w:color="auto"/>
            </w:tcBorders>
            <w:vAlign w:val="center"/>
          </w:tcPr>
          <w:p w14:paraId="18907A23" w14:textId="77777777" w:rsidR="00EE4620" w:rsidRPr="00EE4620" w:rsidRDefault="00EE4620" w:rsidP="00EE462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EE4620">
              <w:rPr>
                <w:rFonts w:cs="Arial"/>
                <w:color w:val="000000"/>
                <w:sz w:val="20"/>
              </w:rPr>
              <w:t>93</w:t>
            </w:r>
          </w:p>
          <w:p w14:paraId="18907A24" w14:textId="77777777" w:rsidR="00EE4620" w:rsidRPr="00EE4620" w:rsidRDefault="00EE4620" w:rsidP="00EE462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EE4620">
              <w:rPr>
                <w:rFonts w:cs="Arial"/>
                <w:color w:val="000000"/>
                <w:sz w:val="20"/>
              </w:rPr>
              <w:t>(10%)</w:t>
            </w:r>
          </w:p>
        </w:tc>
      </w:tr>
      <w:tr w:rsidR="00EE4620" w:rsidRPr="00EE4620" w14:paraId="18907A2F" w14:textId="77777777" w:rsidTr="00E55451">
        <w:trPr>
          <w:trHeight w:val="290"/>
        </w:trPr>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14:paraId="18907A26" w14:textId="77777777" w:rsidR="00EE4620" w:rsidRPr="00EE4620" w:rsidRDefault="00EE4620" w:rsidP="00EE4620">
            <w:pPr>
              <w:autoSpaceDE w:val="0"/>
              <w:autoSpaceDN w:val="0"/>
              <w:adjustRightInd w:val="0"/>
              <w:jc w:val="right"/>
              <w:rPr>
                <w:rFonts w:cs="Arial"/>
                <w:color w:val="000000"/>
                <w:sz w:val="20"/>
              </w:rPr>
            </w:pPr>
            <w:r w:rsidRPr="00EE4620">
              <w:rPr>
                <w:rFonts w:cs="Arial"/>
                <w:color w:val="000000"/>
                <w:sz w:val="20"/>
              </w:rPr>
              <w:t>South East</w:t>
            </w:r>
          </w:p>
        </w:tc>
        <w:tc>
          <w:tcPr>
            <w:tcW w:w="1276" w:type="dxa"/>
            <w:vAlign w:val="center"/>
          </w:tcPr>
          <w:p w14:paraId="18907A27" w14:textId="77777777" w:rsidR="00EE4620" w:rsidRPr="00EE4620" w:rsidRDefault="00EE4620" w:rsidP="00EE462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EE4620">
              <w:rPr>
                <w:rFonts w:cs="Arial"/>
                <w:color w:val="000000"/>
                <w:sz w:val="20"/>
              </w:rPr>
              <w:t>16</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vAlign w:val="center"/>
          </w:tcPr>
          <w:p w14:paraId="18907A28" w14:textId="77777777" w:rsidR="00EE4620" w:rsidRPr="00EE4620" w:rsidRDefault="00EE4620" w:rsidP="00EE4620">
            <w:pPr>
              <w:autoSpaceDE w:val="0"/>
              <w:autoSpaceDN w:val="0"/>
              <w:adjustRightInd w:val="0"/>
              <w:jc w:val="center"/>
              <w:rPr>
                <w:rFonts w:cs="Arial"/>
                <w:color w:val="000000"/>
                <w:sz w:val="20"/>
              </w:rPr>
            </w:pPr>
            <w:r w:rsidRPr="00EE4620">
              <w:rPr>
                <w:rFonts w:cs="Arial"/>
                <w:color w:val="000000"/>
                <w:sz w:val="20"/>
              </w:rPr>
              <w:t>38</w:t>
            </w:r>
          </w:p>
        </w:tc>
        <w:tc>
          <w:tcPr>
            <w:tcW w:w="1134" w:type="dxa"/>
            <w:vAlign w:val="center"/>
          </w:tcPr>
          <w:p w14:paraId="18907A29" w14:textId="77777777" w:rsidR="00EE4620" w:rsidRPr="00EE4620" w:rsidRDefault="00EE4620" w:rsidP="00EE462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EE4620">
              <w:rPr>
                <w:rFonts w:cs="Arial"/>
                <w:color w:val="000000"/>
                <w:sz w:val="20"/>
              </w:rPr>
              <w:t>19</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vAlign w:val="center"/>
          </w:tcPr>
          <w:p w14:paraId="18907A2A" w14:textId="77777777" w:rsidR="00EE4620" w:rsidRPr="00EE4620" w:rsidRDefault="00EE4620" w:rsidP="00EE4620">
            <w:pPr>
              <w:autoSpaceDE w:val="0"/>
              <w:autoSpaceDN w:val="0"/>
              <w:adjustRightInd w:val="0"/>
              <w:jc w:val="center"/>
              <w:rPr>
                <w:rFonts w:cs="Arial"/>
                <w:color w:val="000000"/>
                <w:sz w:val="20"/>
              </w:rPr>
            </w:pPr>
            <w:r w:rsidRPr="00EE4620">
              <w:rPr>
                <w:rFonts w:cs="Arial"/>
                <w:color w:val="000000"/>
                <w:sz w:val="20"/>
              </w:rPr>
              <w:t>19</w:t>
            </w:r>
          </w:p>
        </w:tc>
        <w:tc>
          <w:tcPr>
            <w:tcW w:w="1134" w:type="dxa"/>
            <w:vAlign w:val="center"/>
          </w:tcPr>
          <w:p w14:paraId="18907A2B" w14:textId="77777777" w:rsidR="00EE4620" w:rsidRPr="00EE4620" w:rsidRDefault="00EE4620" w:rsidP="00EE462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EE4620">
              <w:rPr>
                <w:rFonts w:cs="Arial"/>
                <w:color w:val="000000"/>
                <w:sz w:val="20"/>
              </w:rPr>
              <w:t>3</w:t>
            </w:r>
          </w:p>
        </w:tc>
        <w:tc>
          <w:tcPr>
            <w:cnfStyle w:val="000010000000" w:firstRow="0" w:lastRow="0" w:firstColumn="0" w:lastColumn="0" w:oddVBand="1" w:evenVBand="0" w:oddHBand="0" w:evenHBand="0" w:firstRowFirstColumn="0" w:firstRowLastColumn="0" w:lastRowFirstColumn="0" w:lastRowLastColumn="0"/>
            <w:tcW w:w="1418" w:type="dxa"/>
            <w:tcBorders>
              <w:left w:val="none" w:sz="0" w:space="0" w:color="auto"/>
              <w:right w:val="none" w:sz="0" w:space="0" w:color="auto"/>
            </w:tcBorders>
            <w:vAlign w:val="center"/>
          </w:tcPr>
          <w:p w14:paraId="18907A2C" w14:textId="77777777" w:rsidR="00EE4620" w:rsidRPr="00EE4620" w:rsidRDefault="00EE4620" w:rsidP="00EE4620">
            <w:pPr>
              <w:autoSpaceDE w:val="0"/>
              <w:autoSpaceDN w:val="0"/>
              <w:adjustRightInd w:val="0"/>
              <w:jc w:val="center"/>
              <w:rPr>
                <w:rFonts w:cs="Arial"/>
                <w:color w:val="000000"/>
                <w:sz w:val="20"/>
              </w:rPr>
            </w:pPr>
            <w:r w:rsidRPr="00EE4620">
              <w:rPr>
                <w:rFonts w:cs="Arial"/>
                <w:color w:val="000000"/>
                <w:sz w:val="20"/>
              </w:rPr>
              <w:t>50</w:t>
            </w:r>
          </w:p>
        </w:tc>
        <w:tc>
          <w:tcPr>
            <w:tcW w:w="1134" w:type="dxa"/>
            <w:vAlign w:val="center"/>
          </w:tcPr>
          <w:p w14:paraId="18907A2D" w14:textId="77777777" w:rsidR="00EE4620" w:rsidRPr="00EE4620" w:rsidRDefault="00EE4620" w:rsidP="00EE462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EE4620">
              <w:rPr>
                <w:rFonts w:cs="Arial"/>
                <w:color w:val="000000"/>
                <w:sz w:val="20"/>
              </w:rPr>
              <w:t>145</w:t>
            </w:r>
          </w:p>
          <w:p w14:paraId="18907A2E" w14:textId="77777777" w:rsidR="00EE4620" w:rsidRPr="00EE4620" w:rsidRDefault="00EE4620" w:rsidP="00EE462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EE4620">
              <w:rPr>
                <w:rFonts w:cs="Arial"/>
                <w:color w:val="000000"/>
                <w:sz w:val="20"/>
              </w:rPr>
              <w:t>(16%)</w:t>
            </w:r>
          </w:p>
        </w:tc>
      </w:tr>
      <w:tr w:rsidR="00EE4620" w:rsidRPr="00EE4620" w14:paraId="18907A39" w14:textId="77777777" w:rsidTr="00E55451">
        <w:trPr>
          <w:cnfStyle w:val="000000100000" w:firstRow="0" w:lastRow="0" w:firstColumn="0" w:lastColumn="0" w:oddVBand="0" w:evenVBand="0" w:oddHBand="1" w:evenHBand="0" w:firstRowFirstColumn="0" w:firstRowLastColumn="0" w:lastRowFirstColumn="0" w:lastRowLastColumn="0"/>
          <w:trHeight w:val="290"/>
        </w:trPr>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14:paraId="18907A30" w14:textId="77777777" w:rsidR="00EE4620" w:rsidRPr="00EE4620" w:rsidRDefault="00EE4620" w:rsidP="00EE4620">
            <w:pPr>
              <w:autoSpaceDE w:val="0"/>
              <w:autoSpaceDN w:val="0"/>
              <w:adjustRightInd w:val="0"/>
              <w:jc w:val="right"/>
              <w:rPr>
                <w:rFonts w:cs="Arial"/>
                <w:color w:val="000000"/>
                <w:sz w:val="20"/>
              </w:rPr>
            </w:pPr>
            <w:r w:rsidRPr="00EE4620">
              <w:rPr>
                <w:rFonts w:cs="Arial"/>
                <w:color w:val="000000"/>
                <w:sz w:val="20"/>
              </w:rPr>
              <w:t>South West</w:t>
            </w:r>
          </w:p>
        </w:tc>
        <w:tc>
          <w:tcPr>
            <w:tcW w:w="1276" w:type="dxa"/>
            <w:tcBorders>
              <w:top w:val="none" w:sz="0" w:space="0" w:color="auto"/>
              <w:bottom w:val="none" w:sz="0" w:space="0" w:color="auto"/>
            </w:tcBorders>
            <w:vAlign w:val="center"/>
          </w:tcPr>
          <w:p w14:paraId="18907A31" w14:textId="77777777" w:rsidR="00EE4620" w:rsidRPr="00EE4620" w:rsidRDefault="00EE4620" w:rsidP="00EE462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EE4620">
              <w:rPr>
                <w:rFonts w:cs="Arial"/>
                <w:color w:val="000000"/>
                <w:sz w:val="20"/>
              </w:rPr>
              <w:t>7</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14:paraId="18907A32" w14:textId="77777777" w:rsidR="00EE4620" w:rsidRPr="00EE4620" w:rsidRDefault="00EE4620" w:rsidP="00EE4620">
            <w:pPr>
              <w:autoSpaceDE w:val="0"/>
              <w:autoSpaceDN w:val="0"/>
              <w:adjustRightInd w:val="0"/>
              <w:jc w:val="center"/>
              <w:rPr>
                <w:rFonts w:cs="Arial"/>
                <w:color w:val="000000"/>
                <w:sz w:val="20"/>
              </w:rPr>
            </w:pPr>
            <w:r w:rsidRPr="00EE4620">
              <w:rPr>
                <w:rFonts w:cs="Arial"/>
                <w:color w:val="000000"/>
                <w:sz w:val="20"/>
              </w:rPr>
              <w:t>18</w:t>
            </w:r>
          </w:p>
        </w:tc>
        <w:tc>
          <w:tcPr>
            <w:tcW w:w="1134" w:type="dxa"/>
            <w:tcBorders>
              <w:top w:val="none" w:sz="0" w:space="0" w:color="auto"/>
              <w:bottom w:val="none" w:sz="0" w:space="0" w:color="auto"/>
            </w:tcBorders>
            <w:vAlign w:val="center"/>
          </w:tcPr>
          <w:p w14:paraId="18907A33" w14:textId="77777777" w:rsidR="00EE4620" w:rsidRPr="00EE4620" w:rsidRDefault="00EE4620" w:rsidP="00EE462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EE4620">
              <w:rPr>
                <w:rFonts w:cs="Arial"/>
                <w:color w:val="000000"/>
                <w:sz w:val="20"/>
              </w:rPr>
              <w:t>16</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14:paraId="18907A34" w14:textId="77777777" w:rsidR="00EE4620" w:rsidRPr="00EE4620" w:rsidRDefault="00EE4620" w:rsidP="00EE4620">
            <w:pPr>
              <w:autoSpaceDE w:val="0"/>
              <w:autoSpaceDN w:val="0"/>
              <w:adjustRightInd w:val="0"/>
              <w:jc w:val="center"/>
              <w:rPr>
                <w:rFonts w:cs="Arial"/>
                <w:color w:val="000000"/>
                <w:sz w:val="20"/>
              </w:rPr>
            </w:pPr>
            <w:r w:rsidRPr="00EE4620">
              <w:rPr>
                <w:rFonts w:cs="Arial"/>
                <w:color w:val="000000"/>
                <w:sz w:val="20"/>
              </w:rPr>
              <w:t>10</w:t>
            </w:r>
          </w:p>
        </w:tc>
        <w:tc>
          <w:tcPr>
            <w:tcW w:w="1134" w:type="dxa"/>
            <w:tcBorders>
              <w:top w:val="none" w:sz="0" w:space="0" w:color="auto"/>
              <w:bottom w:val="none" w:sz="0" w:space="0" w:color="auto"/>
            </w:tcBorders>
            <w:vAlign w:val="center"/>
          </w:tcPr>
          <w:p w14:paraId="18907A35" w14:textId="77777777" w:rsidR="00EE4620" w:rsidRPr="00EE4620" w:rsidRDefault="00EE4620" w:rsidP="00EE462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EE4620">
              <w:rPr>
                <w:rFonts w:cs="Arial"/>
                <w:color w:val="000000"/>
                <w:sz w:val="20"/>
              </w:rPr>
              <w:t>11</w:t>
            </w:r>
          </w:p>
        </w:tc>
        <w:tc>
          <w:tcPr>
            <w:cnfStyle w:val="000010000000" w:firstRow="0" w:lastRow="0" w:firstColumn="0" w:lastColumn="0" w:oddVBand="1"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vAlign w:val="center"/>
          </w:tcPr>
          <w:p w14:paraId="18907A36" w14:textId="77777777" w:rsidR="00EE4620" w:rsidRPr="00EE4620" w:rsidRDefault="00EE4620" w:rsidP="00EE4620">
            <w:pPr>
              <w:autoSpaceDE w:val="0"/>
              <w:autoSpaceDN w:val="0"/>
              <w:adjustRightInd w:val="0"/>
              <w:jc w:val="center"/>
              <w:rPr>
                <w:rFonts w:cs="Arial"/>
                <w:color w:val="000000"/>
                <w:sz w:val="20"/>
              </w:rPr>
            </w:pPr>
            <w:r w:rsidRPr="00EE4620">
              <w:rPr>
                <w:rFonts w:cs="Arial"/>
                <w:color w:val="000000"/>
                <w:sz w:val="20"/>
              </w:rPr>
              <w:t>30</w:t>
            </w:r>
          </w:p>
        </w:tc>
        <w:tc>
          <w:tcPr>
            <w:tcW w:w="1134" w:type="dxa"/>
            <w:tcBorders>
              <w:top w:val="none" w:sz="0" w:space="0" w:color="auto"/>
              <w:bottom w:val="none" w:sz="0" w:space="0" w:color="auto"/>
              <w:right w:val="none" w:sz="0" w:space="0" w:color="auto"/>
            </w:tcBorders>
            <w:vAlign w:val="center"/>
          </w:tcPr>
          <w:p w14:paraId="18907A37" w14:textId="77777777" w:rsidR="00EE4620" w:rsidRPr="00EE4620" w:rsidRDefault="00EE4620" w:rsidP="00EE462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EE4620">
              <w:rPr>
                <w:rFonts w:cs="Arial"/>
                <w:color w:val="000000"/>
                <w:sz w:val="20"/>
              </w:rPr>
              <w:t>92</w:t>
            </w:r>
          </w:p>
          <w:p w14:paraId="18907A38" w14:textId="77777777" w:rsidR="00EE4620" w:rsidRPr="00EE4620" w:rsidRDefault="00EE4620" w:rsidP="00EE462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EE4620">
              <w:rPr>
                <w:rFonts w:cs="Arial"/>
                <w:color w:val="000000"/>
                <w:sz w:val="20"/>
              </w:rPr>
              <w:t>(10%)</w:t>
            </w:r>
          </w:p>
        </w:tc>
      </w:tr>
      <w:tr w:rsidR="00EE4620" w:rsidRPr="00EE4620" w14:paraId="18907A43" w14:textId="77777777" w:rsidTr="00E55451">
        <w:trPr>
          <w:trHeight w:val="290"/>
        </w:trPr>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14:paraId="18907A3A" w14:textId="77777777" w:rsidR="00EE4620" w:rsidRPr="00EE4620" w:rsidRDefault="00EE4620" w:rsidP="00EE4620">
            <w:pPr>
              <w:autoSpaceDE w:val="0"/>
              <w:autoSpaceDN w:val="0"/>
              <w:adjustRightInd w:val="0"/>
              <w:jc w:val="right"/>
              <w:rPr>
                <w:rFonts w:cs="Arial"/>
                <w:color w:val="000000"/>
                <w:sz w:val="20"/>
              </w:rPr>
            </w:pPr>
            <w:r w:rsidRPr="00EE4620">
              <w:rPr>
                <w:rFonts w:cs="Arial"/>
                <w:color w:val="000000"/>
                <w:sz w:val="20"/>
              </w:rPr>
              <w:t>West Midlands</w:t>
            </w:r>
          </w:p>
        </w:tc>
        <w:tc>
          <w:tcPr>
            <w:tcW w:w="1276" w:type="dxa"/>
            <w:vAlign w:val="center"/>
          </w:tcPr>
          <w:p w14:paraId="18907A3B" w14:textId="77777777" w:rsidR="00EE4620" w:rsidRPr="00EE4620" w:rsidRDefault="00EE4620" w:rsidP="00EE462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EE4620">
              <w:rPr>
                <w:rFonts w:cs="Arial"/>
                <w:color w:val="000000"/>
                <w:sz w:val="20"/>
              </w:rPr>
              <w:t>9</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vAlign w:val="center"/>
          </w:tcPr>
          <w:p w14:paraId="18907A3C" w14:textId="77777777" w:rsidR="00EE4620" w:rsidRPr="00EE4620" w:rsidRDefault="00EE4620" w:rsidP="00EE4620">
            <w:pPr>
              <w:autoSpaceDE w:val="0"/>
              <w:autoSpaceDN w:val="0"/>
              <w:adjustRightInd w:val="0"/>
              <w:jc w:val="center"/>
              <w:rPr>
                <w:rFonts w:cs="Arial"/>
                <w:color w:val="000000"/>
                <w:sz w:val="20"/>
              </w:rPr>
            </w:pPr>
            <w:r w:rsidRPr="00EE4620">
              <w:rPr>
                <w:rFonts w:cs="Arial"/>
                <w:color w:val="000000"/>
                <w:sz w:val="20"/>
              </w:rPr>
              <w:t>31</w:t>
            </w:r>
          </w:p>
        </w:tc>
        <w:tc>
          <w:tcPr>
            <w:tcW w:w="1134" w:type="dxa"/>
            <w:vAlign w:val="center"/>
          </w:tcPr>
          <w:p w14:paraId="18907A3D" w14:textId="77777777" w:rsidR="00EE4620" w:rsidRPr="00EE4620" w:rsidRDefault="00EE4620" w:rsidP="00EE462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EE4620">
              <w:rPr>
                <w:rFonts w:cs="Arial"/>
                <w:color w:val="000000"/>
                <w:sz w:val="20"/>
              </w:rPr>
              <w:t>8</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vAlign w:val="center"/>
          </w:tcPr>
          <w:p w14:paraId="18907A3E" w14:textId="77777777" w:rsidR="00EE4620" w:rsidRPr="00EE4620" w:rsidRDefault="00EE4620" w:rsidP="00EE4620">
            <w:pPr>
              <w:autoSpaceDE w:val="0"/>
              <w:autoSpaceDN w:val="0"/>
              <w:adjustRightInd w:val="0"/>
              <w:jc w:val="center"/>
              <w:rPr>
                <w:rFonts w:cs="Arial"/>
                <w:color w:val="000000"/>
                <w:sz w:val="20"/>
              </w:rPr>
            </w:pPr>
            <w:r w:rsidRPr="00EE4620">
              <w:rPr>
                <w:rFonts w:cs="Arial"/>
                <w:color w:val="000000"/>
                <w:sz w:val="20"/>
              </w:rPr>
              <w:t>8</w:t>
            </w:r>
          </w:p>
        </w:tc>
        <w:tc>
          <w:tcPr>
            <w:tcW w:w="1134" w:type="dxa"/>
            <w:vAlign w:val="center"/>
          </w:tcPr>
          <w:p w14:paraId="18907A3F" w14:textId="77777777" w:rsidR="00EE4620" w:rsidRPr="00EE4620" w:rsidRDefault="00EE4620" w:rsidP="00EE462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EE4620">
              <w:rPr>
                <w:rFonts w:cs="Arial"/>
                <w:color w:val="000000"/>
                <w:sz w:val="20"/>
              </w:rPr>
              <w:t>15</w:t>
            </w:r>
          </w:p>
        </w:tc>
        <w:tc>
          <w:tcPr>
            <w:cnfStyle w:val="000010000000" w:firstRow="0" w:lastRow="0" w:firstColumn="0" w:lastColumn="0" w:oddVBand="1" w:evenVBand="0" w:oddHBand="0" w:evenHBand="0" w:firstRowFirstColumn="0" w:firstRowLastColumn="0" w:lastRowFirstColumn="0" w:lastRowLastColumn="0"/>
            <w:tcW w:w="1418" w:type="dxa"/>
            <w:tcBorders>
              <w:left w:val="none" w:sz="0" w:space="0" w:color="auto"/>
              <w:right w:val="none" w:sz="0" w:space="0" w:color="auto"/>
            </w:tcBorders>
            <w:vAlign w:val="center"/>
          </w:tcPr>
          <w:p w14:paraId="18907A40" w14:textId="77777777" w:rsidR="00EE4620" w:rsidRPr="00EE4620" w:rsidRDefault="00EE4620" w:rsidP="00EE4620">
            <w:pPr>
              <w:autoSpaceDE w:val="0"/>
              <w:autoSpaceDN w:val="0"/>
              <w:adjustRightInd w:val="0"/>
              <w:jc w:val="center"/>
              <w:rPr>
                <w:rFonts w:cs="Arial"/>
                <w:color w:val="000000"/>
                <w:sz w:val="20"/>
              </w:rPr>
            </w:pPr>
            <w:r w:rsidRPr="00EE4620">
              <w:rPr>
                <w:rFonts w:cs="Arial"/>
                <w:color w:val="000000"/>
                <w:sz w:val="20"/>
              </w:rPr>
              <w:t>30</w:t>
            </w:r>
          </w:p>
        </w:tc>
        <w:tc>
          <w:tcPr>
            <w:tcW w:w="1134" w:type="dxa"/>
            <w:vAlign w:val="center"/>
          </w:tcPr>
          <w:p w14:paraId="18907A41" w14:textId="77777777" w:rsidR="00EE4620" w:rsidRPr="00EE4620" w:rsidRDefault="00EE4620" w:rsidP="00EE462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EE4620">
              <w:rPr>
                <w:rFonts w:cs="Arial"/>
                <w:color w:val="000000"/>
                <w:sz w:val="20"/>
              </w:rPr>
              <w:t>101</w:t>
            </w:r>
          </w:p>
          <w:p w14:paraId="18907A42" w14:textId="77777777" w:rsidR="00EE4620" w:rsidRPr="00EE4620" w:rsidRDefault="00EE4620" w:rsidP="00EE462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EE4620">
              <w:rPr>
                <w:rFonts w:cs="Arial"/>
                <w:color w:val="000000"/>
                <w:sz w:val="20"/>
              </w:rPr>
              <w:t>(11%)</w:t>
            </w:r>
          </w:p>
        </w:tc>
      </w:tr>
      <w:tr w:rsidR="00EE4620" w:rsidRPr="00EE4620" w14:paraId="18907A4D" w14:textId="77777777" w:rsidTr="00E55451">
        <w:trPr>
          <w:cnfStyle w:val="000000100000" w:firstRow="0" w:lastRow="0" w:firstColumn="0" w:lastColumn="0" w:oddVBand="0" w:evenVBand="0" w:oddHBand="1" w:evenHBand="0" w:firstRowFirstColumn="0" w:firstRowLastColumn="0" w:lastRowFirstColumn="0" w:lastRowLastColumn="0"/>
          <w:trHeight w:val="290"/>
        </w:trPr>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14:paraId="18907A44" w14:textId="77777777" w:rsidR="00EE4620" w:rsidRPr="00EE4620" w:rsidRDefault="00EE4620" w:rsidP="00EE4620">
            <w:pPr>
              <w:autoSpaceDE w:val="0"/>
              <w:autoSpaceDN w:val="0"/>
              <w:adjustRightInd w:val="0"/>
              <w:jc w:val="right"/>
              <w:rPr>
                <w:rFonts w:cs="Arial"/>
                <w:color w:val="000000"/>
                <w:sz w:val="20"/>
              </w:rPr>
            </w:pPr>
            <w:r w:rsidRPr="00EE4620">
              <w:rPr>
                <w:rFonts w:cs="Arial"/>
                <w:color w:val="000000"/>
                <w:sz w:val="20"/>
              </w:rPr>
              <w:t>Yorkshire and the Humber</w:t>
            </w:r>
          </w:p>
        </w:tc>
        <w:tc>
          <w:tcPr>
            <w:tcW w:w="1276" w:type="dxa"/>
            <w:tcBorders>
              <w:top w:val="none" w:sz="0" w:space="0" w:color="auto"/>
              <w:bottom w:val="none" w:sz="0" w:space="0" w:color="auto"/>
            </w:tcBorders>
            <w:vAlign w:val="center"/>
          </w:tcPr>
          <w:p w14:paraId="18907A45" w14:textId="77777777" w:rsidR="00EE4620" w:rsidRPr="00EE4620" w:rsidRDefault="00EE4620" w:rsidP="00EE462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EE4620">
              <w:rPr>
                <w:rFonts w:cs="Arial"/>
                <w:color w:val="000000"/>
                <w:sz w:val="20"/>
              </w:rPr>
              <w:t>6</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14:paraId="18907A46" w14:textId="77777777" w:rsidR="00EE4620" w:rsidRPr="00EE4620" w:rsidRDefault="00EE4620" w:rsidP="00EE4620">
            <w:pPr>
              <w:autoSpaceDE w:val="0"/>
              <w:autoSpaceDN w:val="0"/>
              <w:adjustRightInd w:val="0"/>
              <w:jc w:val="center"/>
              <w:rPr>
                <w:rFonts w:cs="Arial"/>
                <w:color w:val="000000"/>
                <w:sz w:val="20"/>
              </w:rPr>
            </w:pPr>
            <w:r w:rsidRPr="00EE4620">
              <w:rPr>
                <w:rFonts w:cs="Arial"/>
                <w:color w:val="000000"/>
                <w:sz w:val="20"/>
              </w:rPr>
              <w:t>23</w:t>
            </w:r>
          </w:p>
        </w:tc>
        <w:tc>
          <w:tcPr>
            <w:tcW w:w="1134" w:type="dxa"/>
            <w:tcBorders>
              <w:top w:val="none" w:sz="0" w:space="0" w:color="auto"/>
              <w:bottom w:val="none" w:sz="0" w:space="0" w:color="auto"/>
            </w:tcBorders>
            <w:vAlign w:val="center"/>
          </w:tcPr>
          <w:p w14:paraId="18907A47" w14:textId="77777777" w:rsidR="00EE4620" w:rsidRPr="00EE4620" w:rsidRDefault="00EE4620" w:rsidP="00EE462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EE4620">
              <w:rPr>
                <w:rFonts w:cs="Arial"/>
                <w:color w:val="000000"/>
                <w:sz w:val="20"/>
              </w:rPr>
              <w:t>11</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14:paraId="18907A48" w14:textId="77777777" w:rsidR="00EE4620" w:rsidRPr="00EE4620" w:rsidRDefault="00EE4620" w:rsidP="00EE4620">
            <w:pPr>
              <w:autoSpaceDE w:val="0"/>
              <w:autoSpaceDN w:val="0"/>
              <w:adjustRightInd w:val="0"/>
              <w:jc w:val="center"/>
              <w:rPr>
                <w:rFonts w:cs="Arial"/>
                <w:color w:val="000000"/>
                <w:sz w:val="20"/>
              </w:rPr>
            </w:pPr>
            <w:r w:rsidRPr="00EE4620">
              <w:rPr>
                <w:rFonts w:cs="Arial"/>
                <w:color w:val="000000"/>
                <w:sz w:val="20"/>
              </w:rPr>
              <w:t>11</w:t>
            </w:r>
          </w:p>
        </w:tc>
        <w:tc>
          <w:tcPr>
            <w:tcW w:w="1134" w:type="dxa"/>
            <w:tcBorders>
              <w:top w:val="none" w:sz="0" w:space="0" w:color="auto"/>
              <w:bottom w:val="none" w:sz="0" w:space="0" w:color="auto"/>
            </w:tcBorders>
            <w:vAlign w:val="center"/>
          </w:tcPr>
          <w:p w14:paraId="18907A49" w14:textId="77777777" w:rsidR="00EE4620" w:rsidRPr="00EE4620" w:rsidRDefault="00EE4620" w:rsidP="00EE462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EE4620">
              <w:rPr>
                <w:rFonts w:cs="Arial"/>
                <w:color w:val="000000"/>
                <w:sz w:val="20"/>
              </w:rPr>
              <w:t>19</w:t>
            </w:r>
          </w:p>
        </w:tc>
        <w:tc>
          <w:tcPr>
            <w:cnfStyle w:val="000010000000" w:firstRow="0" w:lastRow="0" w:firstColumn="0" w:lastColumn="0" w:oddVBand="1"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vAlign w:val="center"/>
          </w:tcPr>
          <w:p w14:paraId="18907A4A" w14:textId="77777777" w:rsidR="00EE4620" w:rsidRPr="00EE4620" w:rsidRDefault="00EE4620" w:rsidP="00EE4620">
            <w:pPr>
              <w:autoSpaceDE w:val="0"/>
              <w:autoSpaceDN w:val="0"/>
              <w:adjustRightInd w:val="0"/>
              <w:jc w:val="center"/>
              <w:rPr>
                <w:rFonts w:cs="Arial"/>
                <w:color w:val="000000"/>
                <w:sz w:val="20"/>
              </w:rPr>
            </w:pPr>
            <w:r w:rsidRPr="00EE4620">
              <w:rPr>
                <w:rFonts w:cs="Arial"/>
                <w:color w:val="000000"/>
                <w:sz w:val="20"/>
              </w:rPr>
              <w:t>28</w:t>
            </w:r>
          </w:p>
        </w:tc>
        <w:tc>
          <w:tcPr>
            <w:tcW w:w="1134" w:type="dxa"/>
            <w:tcBorders>
              <w:top w:val="none" w:sz="0" w:space="0" w:color="auto"/>
              <w:bottom w:val="none" w:sz="0" w:space="0" w:color="auto"/>
              <w:right w:val="none" w:sz="0" w:space="0" w:color="auto"/>
            </w:tcBorders>
            <w:vAlign w:val="center"/>
          </w:tcPr>
          <w:p w14:paraId="18907A4B" w14:textId="77777777" w:rsidR="00EE4620" w:rsidRPr="00EE4620" w:rsidRDefault="00EE4620" w:rsidP="00EE462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EE4620">
              <w:rPr>
                <w:rFonts w:cs="Arial"/>
                <w:color w:val="000000"/>
                <w:sz w:val="20"/>
              </w:rPr>
              <w:t>90</w:t>
            </w:r>
          </w:p>
          <w:p w14:paraId="18907A4C" w14:textId="77777777" w:rsidR="00EE4620" w:rsidRPr="00EE4620" w:rsidRDefault="00EE4620" w:rsidP="00EE462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EE4620">
              <w:rPr>
                <w:rFonts w:cs="Arial"/>
                <w:color w:val="000000"/>
                <w:sz w:val="20"/>
              </w:rPr>
              <w:t>(10%)</w:t>
            </w:r>
          </w:p>
        </w:tc>
      </w:tr>
      <w:tr w:rsidR="00EE4620" w:rsidRPr="00EE4620" w14:paraId="18907A5D" w14:textId="77777777" w:rsidTr="00E55451">
        <w:trPr>
          <w:trHeight w:val="290"/>
        </w:trPr>
        <w:tc>
          <w:tcPr>
            <w:cnfStyle w:val="000010000000" w:firstRow="0" w:lastRow="0" w:firstColumn="0" w:lastColumn="0" w:oddVBand="1" w:evenVBand="0" w:oddHBand="0" w:evenHBand="0" w:firstRowFirstColumn="0" w:firstRowLastColumn="0" w:lastRowFirstColumn="0" w:lastRowLastColumn="0"/>
            <w:tcW w:w="1701" w:type="dxa"/>
            <w:tcBorders>
              <w:top w:val="single" w:sz="8" w:space="0" w:color="000000"/>
              <w:left w:val="none" w:sz="0" w:space="0" w:color="auto"/>
              <w:bottom w:val="single" w:sz="8" w:space="0" w:color="000000"/>
              <w:right w:val="none" w:sz="0" w:space="0" w:color="auto"/>
            </w:tcBorders>
            <w:shd w:val="clear" w:color="auto" w:fill="000000" w:themeFill="text1"/>
          </w:tcPr>
          <w:p w14:paraId="18907A4E" w14:textId="77777777" w:rsidR="00EE4620" w:rsidRPr="00EE4620" w:rsidRDefault="00EE4620" w:rsidP="00EE4620">
            <w:pPr>
              <w:autoSpaceDE w:val="0"/>
              <w:autoSpaceDN w:val="0"/>
              <w:adjustRightInd w:val="0"/>
              <w:jc w:val="right"/>
              <w:rPr>
                <w:rFonts w:cs="Arial"/>
                <w:b/>
                <w:color w:val="FFFFFF"/>
                <w:sz w:val="20"/>
              </w:rPr>
            </w:pPr>
            <w:r w:rsidRPr="00EE4620">
              <w:rPr>
                <w:rFonts w:cs="Arial"/>
                <w:b/>
                <w:color w:val="FFFFFF"/>
                <w:sz w:val="20"/>
              </w:rPr>
              <w:t>Role Total:</w:t>
            </w:r>
          </w:p>
        </w:tc>
        <w:tc>
          <w:tcPr>
            <w:tcW w:w="1276" w:type="dxa"/>
            <w:vAlign w:val="center"/>
          </w:tcPr>
          <w:p w14:paraId="18907A4F" w14:textId="77777777" w:rsidR="00EE4620" w:rsidRPr="00EE4620" w:rsidRDefault="00EE4620" w:rsidP="00EE462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EE4620">
              <w:rPr>
                <w:rFonts w:cs="Arial"/>
                <w:color w:val="000000"/>
                <w:sz w:val="20"/>
              </w:rPr>
              <w:t>87</w:t>
            </w:r>
          </w:p>
          <w:p w14:paraId="18907A50" w14:textId="77777777" w:rsidR="00EE4620" w:rsidRPr="00EE4620" w:rsidRDefault="00EE4620" w:rsidP="00EE462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EE4620">
              <w:rPr>
                <w:rFonts w:cs="Arial"/>
                <w:color w:val="000000"/>
                <w:sz w:val="20"/>
              </w:rPr>
              <w:t>(10%)</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vAlign w:val="center"/>
          </w:tcPr>
          <w:p w14:paraId="18907A51" w14:textId="77777777" w:rsidR="00EE4620" w:rsidRPr="00EE4620" w:rsidRDefault="00EE4620" w:rsidP="00EE4620">
            <w:pPr>
              <w:autoSpaceDE w:val="0"/>
              <w:autoSpaceDN w:val="0"/>
              <w:adjustRightInd w:val="0"/>
              <w:jc w:val="center"/>
              <w:rPr>
                <w:rFonts w:cs="Arial"/>
                <w:color w:val="000000"/>
                <w:sz w:val="20"/>
              </w:rPr>
            </w:pPr>
            <w:r w:rsidRPr="00EE4620">
              <w:rPr>
                <w:rFonts w:cs="Arial"/>
                <w:color w:val="000000"/>
                <w:sz w:val="20"/>
              </w:rPr>
              <w:t>238</w:t>
            </w:r>
          </w:p>
          <w:p w14:paraId="18907A52" w14:textId="77777777" w:rsidR="00EE4620" w:rsidRPr="00EE4620" w:rsidRDefault="00EE4620" w:rsidP="00EE4620">
            <w:pPr>
              <w:autoSpaceDE w:val="0"/>
              <w:autoSpaceDN w:val="0"/>
              <w:adjustRightInd w:val="0"/>
              <w:jc w:val="center"/>
              <w:rPr>
                <w:rFonts w:cs="Arial"/>
                <w:color w:val="000000"/>
                <w:sz w:val="20"/>
              </w:rPr>
            </w:pPr>
            <w:r w:rsidRPr="00EE4620">
              <w:rPr>
                <w:rFonts w:cs="Arial"/>
                <w:color w:val="000000"/>
                <w:sz w:val="20"/>
              </w:rPr>
              <w:t>(26%)</w:t>
            </w:r>
          </w:p>
        </w:tc>
        <w:tc>
          <w:tcPr>
            <w:tcW w:w="1134" w:type="dxa"/>
            <w:vAlign w:val="center"/>
          </w:tcPr>
          <w:p w14:paraId="18907A53" w14:textId="77777777" w:rsidR="00EE4620" w:rsidRPr="00EE4620" w:rsidRDefault="00EE4620" w:rsidP="00EE462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EE4620">
              <w:rPr>
                <w:rFonts w:cs="Arial"/>
                <w:color w:val="000000"/>
                <w:sz w:val="20"/>
              </w:rPr>
              <w:t>81</w:t>
            </w:r>
          </w:p>
          <w:p w14:paraId="18907A54" w14:textId="77777777" w:rsidR="00EE4620" w:rsidRPr="00EE4620" w:rsidRDefault="00EE4620" w:rsidP="00EE462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EE4620">
              <w:rPr>
                <w:rFonts w:cs="Arial"/>
                <w:color w:val="000000"/>
                <w:sz w:val="20"/>
              </w:rPr>
              <w:t>(9%)</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vAlign w:val="center"/>
          </w:tcPr>
          <w:p w14:paraId="18907A55" w14:textId="77777777" w:rsidR="00EE4620" w:rsidRPr="00EE4620" w:rsidRDefault="00EE4620" w:rsidP="00EE4620">
            <w:pPr>
              <w:autoSpaceDE w:val="0"/>
              <w:autoSpaceDN w:val="0"/>
              <w:adjustRightInd w:val="0"/>
              <w:jc w:val="center"/>
              <w:rPr>
                <w:rFonts w:cs="Arial"/>
                <w:color w:val="000000"/>
                <w:sz w:val="20"/>
              </w:rPr>
            </w:pPr>
            <w:r w:rsidRPr="00EE4620">
              <w:rPr>
                <w:rFonts w:cs="Arial"/>
                <w:color w:val="000000"/>
                <w:sz w:val="20"/>
              </w:rPr>
              <w:t>101</w:t>
            </w:r>
          </w:p>
          <w:p w14:paraId="18907A56" w14:textId="77777777" w:rsidR="00EE4620" w:rsidRPr="00EE4620" w:rsidRDefault="00EE4620" w:rsidP="00EE4620">
            <w:pPr>
              <w:autoSpaceDE w:val="0"/>
              <w:autoSpaceDN w:val="0"/>
              <w:adjustRightInd w:val="0"/>
              <w:jc w:val="center"/>
              <w:rPr>
                <w:rFonts w:cs="Arial"/>
                <w:color w:val="000000"/>
                <w:sz w:val="20"/>
              </w:rPr>
            </w:pPr>
            <w:r w:rsidRPr="00EE4620">
              <w:rPr>
                <w:rFonts w:cs="Arial"/>
                <w:color w:val="000000"/>
                <w:sz w:val="20"/>
              </w:rPr>
              <w:t>(11%)</w:t>
            </w:r>
          </w:p>
        </w:tc>
        <w:tc>
          <w:tcPr>
            <w:tcW w:w="1134" w:type="dxa"/>
            <w:vAlign w:val="center"/>
          </w:tcPr>
          <w:p w14:paraId="18907A57" w14:textId="77777777" w:rsidR="00EE4620" w:rsidRPr="00EE4620" w:rsidRDefault="00EE4620" w:rsidP="00EE462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EE4620">
              <w:rPr>
                <w:rFonts w:cs="Arial"/>
                <w:color w:val="000000"/>
                <w:sz w:val="20"/>
              </w:rPr>
              <w:t>99</w:t>
            </w:r>
          </w:p>
          <w:p w14:paraId="18907A58" w14:textId="77777777" w:rsidR="00EE4620" w:rsidRPr="00EE4620" w:rsidRDefault="00EE4620" w:rsidP="00EE462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EE4620">
              <w:rPr>
                <w:rFonts w:cs="Arial"/>
                <w:color w:val="000000"/>
                <w:sz w:val="20"/>
              </w:rPr>
              <w:t>(11%)</w:t>
            </w:r>
          </w:p>
        </w:tc>
        <w:tc>
          <w:tcPr>
            <w:cnfStyle w:val="000010000000" w:firstRow="0" w:lastRow="0" w:firstColumn="0" w:lastColumn="0" w:oddVBand="1" w:evenVBand="0" w:oddHBand="0" w:evenHBand="0" w:firstRowFirstColumn="0" w:firstRowLastColumn="0" w:lastRowFirstColumn="0" w:lastRowLastColumn="0"/>
            <w:tcW w:w="1418" w:type="dxa"/>
            <w:tcBorders>
              <w:left w:val="none" w:sz="0" w:space="0" w:color="auto"/>
              <w:right w:val="none" w:sz="0" w:space="0" w:color="auto"/>
            </w:tcBorders>
            <w:vAlign w:val="center"/>
          </w:tcPr>
          <w:p w14:paraId="18907A59" w14:textId="77777777" w:rsidR="00EE4620" w:rsidRPr="00EE4620" w:rsidRDefault="00EE4620" w:rsidP="00EE4620">
            <w:pPr>
              <w:autoSpaceDE w:val="0"/>
              <w:autoSpaceDN w:val="0"/>
              <w:adjustRightInd w:val="0"/>
              <w:jc w:val="center"/>
              <w:rPr>
                <w:rFonts w:cs="Arial"/>
                <w:color w:val="000000"/>
                <w:sz w:val="20"/>
              </w:rPr>
            </w:pPr>
            <w:r w:rsidRPr="00EE4620">
              <w:rPr>
                <w:rFonts w:cs="Arial"/>
                <w:color w:val="000000"/>
                <w:sz w:val="20"/>
              </w:rPr>
              <w:t>311</w:t>
            </w:r>
          </w:p>
          <w:p w14:paraId="18907A5A" w14:textId="77777777" w:rsidR="00EE4620" w:rsidRPr="00EE4620" w:rsidRDefault="00EE4620" w:rsidP="00EE4620">
            <w:pPr>
              <w:autoSpaceDE w:val="0"/>
              <w:autoSpaceDN w:val="0"/>
              <w:adjustRightInd w:val="0"/>
              <w:jc w:val="center"/>
              <w:rPr>
                <w:rFonts w:cs="Arial"/>
                <w:color w:val="000000"/>
                <w:sz w:val="20"/>
              </w:rPr>
            </w:pPr>
            <w:r w:rsidRPr="00EE4620">
              <w:rPr>
                <w:rFonts w:cs="Arial"/>
                <w:color w:val="000000"/>
                <w:sz w:val="20"/>
              </w:rPr>
              <w:t>(34%)</w:t>
            </w:r>
          </w:p>
        </w:tc>
        <w:tc>
          <w:tcPr>
            <w:tcW w:w="1134" w:type="dxa"/>
            <w:vAlign w:val="center"/>
          </w:tcPr>
          <w:p w14:paraId="18907A5B" w14:textId="77777777" w:rsidR="00EE4620" w:rsidRPr="00EE4620" w:rsidRDefault="00EE4620" w:rsidP="00EE462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EE4620">
              <w:rPr>
                <w:rFonts w:cs="Arial"/>
                <w:color w:val="000000"/>
                <w:sz w:val="20"/>
              </w:rPr>
              <w:t>917</w:t>
            </w:r>
          </w:p>
          <w:p w14:paraId="18907A5C" w14:textId="77777777" w:rsidR="00EE4620" w:rsidRPr="00EE4620" w:rsidRDefault="00EE4620" w:rsidP="00EE462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EE4620">
              <w:rPr>
                <w:rFonts w:cs="Arial"/>
                <w:color w:val="000000"/>
                <w:sz w:val="20"/>
              </w:rPr>
              <w:t>(100%)</w:t>
            </w:r>
          </w:p>
        </w:tc>
      </w:tr>
      <w:tr w:rsidR="00EE4620" w:rsidRPr="00EE4620" w14:paraId="18907A64" w14:textId="77777777" w:rsidTr="00E55451">
        <w:trPr>
          <w:cnfStyle w:val="000000100000" w:firstRow="0" w:lastRow="0" w:firstColumn="0" w:lastColumn="0" w:oddVBand="0" w:evenVBand="0" w:oddHBand="1" w:evenHBand="0" w:firstRowFirstColumn="0" w:firstRowLastColumn="0" w:lastRowFirstColumn="0" w:lastRowLastColumn="0"/>
          <w:trHeight w:val="290"/>
        </w:trPr>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shd w:val="clear" w:color="auto" w:fill="000000" w:themeFill="text1"/>
          </w:tcPr>
          <w:p w14:paraId="18907A5E" w14:textId="77777777" w:rsidR="00EE4620" w:rsidRPr="00EE4620" w:rsidRDefault="00EE4620" w:rsidP="00EE4620">
            <w:pPr>
              <w:autoSpaceDE w:val="0"/>
              <w:autoSpaceDN w:val="0"/>
              <w:adjustRightInd w:val="0"/>
              <w:jc w:val="right"/>
              <w:rPr>
                <w:rFonts w:cs="Arial"/>
                <w:b/>
                <w:color w:val="FFFFFF"/>
                <w:sz w:val="20"/>
              </w:rPr>
            </w:pPr>
            <w:r w:rsidRPr="00EE4620">
              <w:rPr>
                <w:rFonts w:cs="Arial"/>
                <w:b/>
                <w:color w:val="FFFFFF"/>
                <w:sz w:val="20"/>
              </w:rPr>
              <w:t>Amalgamated role Total:</w:t>
            </w:r>
          </w:p>
        </w:tc>
        <w:tc>
          <w:tcPr>
            <w:tcW w:w="2410" w:type="dxa"/>
            <w:gridSpan w:val="2"/>
            <w:tcBorders>
              <w:top w:val="none" w:sz="0" w:space="0" w:color="auto"/>
              <w:bottom w:val="none" w:sz="0" w:space="0" w:color="auto"/>
            </w:tcBorders>
            <w:vAlign w:val="center"/>
          </w:tcPr>
          <w:p w14:paraId="18907A5F" w14:textId="77777777" w:rsidR="00EE4620" w:rsidRPr="00EE4620" w:rsidRDefault="00EE4620" w:rsidP="00EE462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EE4620">
              <w:rPr>
                <w:rFonts w:cs="Arial"/>
                <w:color w:val="000000"/>
                <w:sz w:val="20"/>
              </w:rPr>
              <w:t>325 (35%)</w:t>
            </w:r>
          </w:p>
        </w:tc>
        <w:tc>
          <w:tcPr>
            <w:cnfStyle w:val="000010000000" w:firstRow="0" w:lastRow="0" w:firstColumn="0" w:lastColumn="0" w:oddVBand="1" w:evenVBand="0" w:oddHBand="0" w:evenHBand="0" w:firstRowFirstColumn="0" w:firstRowLastColumn="0" w:lastRowFirstColumn="0" w:lastRowLastColumn="0"/>
            <w:tcW w:w="3402" w:type="dxa"/>
            <w:gridSpan w:val="3"/>
            <w:tcBorders>
              <w:top w:val="none" w:sz="0" w:space="0" w:color="auto"/>
              <w:left w:val="none" w:sz="0" w:space="0" w:color="auto"/>
              <w:bottom w:val="none" w:sz="0" w:space="0" w:color="auto"/>
              <w:right w:val="none" w:sz="0" w:space="0" w:color="auto"/>
            </w:tcBorders>
            <w:vAlign w:val="center"/>
          </w:tcPr>
          <w:p w14:paraId="18907A60" w14:textId="77777777" w:rsidR="00EE4620" w:rsidRPr="00EE4620" w:rsidRDefault="00EE4620" w:rsidP="00EE4620">
            <w:pPr>
              <w:autoSpaceDE w:val="0"/>
              <w:autoSpaceDN w:val="0"/>
              <w:adjustRightInd w:val="0"/>
              <w:jc w:val="center"/>
              <w:rPr>
                <w:rFonts w:cs="Arial"/>
                <w:color w:val="000000"/>
                <w:sz w:val="20"/>
              </w:rPr>
            </w:pPr>
            <w:r w:rsidRPr="00EE4620">
              <w:rPr>
                <w:rFonts w:cs="Arial"/>
                <w:color w:val="000000"/>
                <w:sz w:val="20"/>
              </w:rPr>
              <w:t>281 (31%)</w:t>
            </w:r>
          </w:p>
        </w:tc>
        <w:tc>
          <w:tcPr>
            <w:tcW w:w="1418" w:type="dxa"/>
            <w:tcBorders>
              <w:top w:val="none" w:sz="0" w:space="0" w:color="auto"/>
              <w:bottom w:val="none" w:sz="0" w:space="0" w:color="auto"/>
            </w:tcBorders>
            <w:vAlign w:val="center"/>
          </w:tcPr>
          <w:p w14:paraId="18907A61" w14:textId="77777777" w:rsidR="00EE4620" w:rsidRPr="00EE4620" w:rsidRDefault="00EE4620" w:rsidP="00EE462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EE4620">
              <w:rPr>
                <w:rFonts w:cs="Arial"/>
                <w:color w:val="000000"/>
                <w:sz w:val="20"/>
              </w:rPr>
              <w:t>311 (34%)</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14:paraId="18907A62" w14:textId="77777777" w:rsidR="00EE4620" w:rsidRPr="00EE4620" w:rsidRDefault="00EE4620" w:rsidP="00EE4620">
            <w:pPr>
              <w:autoSpaceDE w:val="0"/>
              <w:autoSpaceDN w:val="0"/>
              <w:adjustRightInd w:val="0"/>
              <w:jc w:val="center"/>
              <w:rPr>
                <w:rFonts w:cs="Arial"/>
                <w:color w:val="000000"/>
                <w:sz w:val="20"/>
              </w:rPr>
            </w:pPr>
            <w:r w:rsidRPr="00EE4620">
              <w:rPr>
                <w:rFonts w:cs="Arial"/>
                <w:color w:val="000000"/>
                <w:sz w:val="20"/>
              </w:rPr>
              <w:t>917</w:t>
            </w:r>
          </w:p>
          <w:p w14:paraId="18907A63" w14:textId="77777777" w:rsidR="00EE4620" w:rsidRPr="00EE4620" w:rsidRDefault="00EE4620" w:rsidP="00EE4620">
            <w:pPr>
              <w:autoSpaceDE w:val="0"/>
              <w:autoSpaceDN w:val="0"/>
              <w:adjustRightInd w:val="0"/>
              <w:jc w:val="center"/>
              <w:rPr>
                <w:rFonts w:cs="Arial"/>
                <w:color w:val="000000"/>
                <w:sz w:val="20"/>
              </w:rPr>
            </w:pPr>
            <w:r w:rsidRPr="00EE4620">
              <w:rPr>
                <w:rFonts w:cs="Arial"/>
                <w:color w:val="000000"/>
                <w:sz w:val="20"/>
              </w:rPr>
              <w:t>(100%)</w:t>
            </w:r>
          </w:p>
        </w:tc>
      </w:tr>
    </w:tbl>
    <w:p w14:paraId="18907A65" w14:textId="77777777" w:rsidR="00EE4620" w:rsidRPr="00EE4620" w:rsidRDefault="00EE4620" w:rsidP="00EE4620">
      <w:pPr>
        <w:spacing w:after="0" w:line="240" w:lineRule="auto"/>
        <w:jc w:val="both"/>
        <w:rPr>
          <w:rFonts w:ascii="Arial" w:eastAsia="Times New Roman" w:hAnsi="Arial" w:cs="Arial"/>
          <w:b/>
          <w:sz w:val="24"/>
          <w:szCs w:val="24"/>
          <w:lang w:eastAsia="en-GB"/>
        </w:rPr>
      </w:pPr>
    </w:p>
    <w:p w14:paraId="18907A66" w14:textId="77777777" w:rsidR="00EE4620" w:rsidRPr="00EE4620" w:rsidRDefault="00EE4620" w:rsidP="00EE4620">
      <w:pPr>
        <w:spacing w:after="0" w:line="240" w:lineRule="auto"/>
        <w:rPr>
          <w:rFonts w:ascii="Arial" w:eastAsia="Times New Roman" w:hAnsi="Arial" w:cs="Times New Roman"/>
          <w:b/>
          <w:lang w:eastAsia="en-GB"/>
        </w:rPr>
      </w:pPr>
    </w:p>
    <w:p w14:paraId="18907A67" w14:textId="77777777" w:rsidR="00EE4620" w:rsidRPr="00EE4620" w:rsidRDefault="00EE4620" w:rsidP="00EE4620">
      <w:pPr>
        <w:spacing w:after="0" w:line="240" w:lineRule="auto"/>
        <w:rPr>
          <w:rFonts w:ascii="Arial" w:eastAsia="Times New Roman" w:hAnsi="Arial" w:cs="Times New Roman"/>
          <w:b/>
          <w:lang w:eastAsia="en-GB"/>
        </w:rPr>
      </w:pPr>
      <w:r w:rsidRPr="00EE4620">
        <w:rPr>
          <w:rFonts w:ascii="Arial" w:eastAsia="Times New Roman" w:hAnsi="Arial" w:cs="Times New Roman"/>
          <w:b/>
          <w:lang w:eastAsia="en-GB"/>
        </w:rPr>
        <w:t>Detailed analysis of the findings</w:t>
      </w:r>
    </w:p>
    <w:p w14:paraId="18907A68" w14:textId="77777777" w:rsidR="00EE4620" w:rsidRPr="00EE4620" w:rsidRDefault="00EE4620" w:rsidP="00EE4620">
      <w:pPr>
        <w:spacing w:after="0" w:line="240" w:lineRule="auto"/>
        <w:rPr>
          <w:rFonts w:ascii="Arial" w:eastAsia="Times New Roman" w:hAnsi="Arial" w:cs="Times New Roman"/>
          <w:lang w:eastAsia="en-GB"/>
        </w:rPr>
      </w:pPr>
    </w:p>
    <w:p w14:paraId="18907A69" w14:textId="585CD86E" w:rsidR="00EE4620" w:rsidRPr="00EE4620" w:rsidRDefault="00EE4620" w:rsidP="002119A4">
      <w:pPr>
        <w:numPr>
          <w:ilvl w:val="0"/>
          <w:numId w:val="3"/>
        </w:numPr>
        <w:spacing w:before="120" w:after="360" w:line="240" w:lineRule="auto"/>
        <w:ind w:left="567" w:hanging="567"/>
        <w:contextualSpacing/>
        <w:rPr>
          <w:rFonts w:ascii="Arial" w:eastAsia="Times New Roman" w:hAnsi="Arial" w:cs="Times New Roman"/>
          <w:lang w:eastAsia="en-GB"/>
        </w:rPr>
      </w:pPr>
      <w:r w:rsidRPr="00EE4620">
        <w:rPr>
          <w:rFonts w:ascii="Arial" w:eastAsia="Times New Roman" w:hAnsi="Arial" w:cs="Times New Roman"/>
          <w:lang w:eastAsia="en-GB"/>
        </w:rPr>
        <w:t xml:space="preserve">The following gives a more detailed analysis of the findings, showing where there are </w:t>
      </w:r>
      <w:r w:rsidRPr="002119A4">
        <w:rPr>
          <w:rFonts w:ascii="Arial" w:eastAsia="Arial" w:hAnsi="Arial" w:cs="Arial"/>
        </w:rPr>
        <w:t>significant</w:t>
      </w:r>
      <w:r w:rsidRPr="00EE4620">
        <w:rPr>
          <w:rFonts w:ascii="Arial" w:eastAsia="Times New Roman" w:hAnsi="Arial" w:cs="Times New Roman"/>
          <w:lang w:eastAsia="en-GB"/>
        </w:rPr>
        <w:t xml:space="preserve"> differences between different roles, regions or where there have been significant changes since the 2012 survey.</w:t>
      </w:r>
    </w:p>
    <w:p w14:paraId="18907A6A" w14:textId="77777777" w:rsidR="00EE4620" w:rsidRPr="00EE4620" w:rsidRDefault="00EE4620" w:rsidP="00EE4620">
      <w:pPr>
        <w:spacing w:after="0" w:line="240" w:lineRule="auto"/>
        <w:rPr>
          <w:rFonts w:ascii="Arial" w:eastAsia="Times New Roman" w:hAnsi="Arial" w:cs="Times New Roman"/>
          <w:lang w:eastAsia="en-GB"/>
        </w:rPr>
      </w:pPr>
    </w:p>
    <w:p w14:paraId="18907A6B" w14:textId="77777777" w:rsidR="00EE4620" w:rsidRPr="00EE4620" w:rsidRDefault="00EE4620" w:rsidP="00EE4620">
      <w:pPr>
        <w:spacing w:after="0" w:line="240" w:lineRule="auto"/>
        <w:rPr>
          <w:rFonts w:ascii="Arial" w:eastAsia="Times New Roman" w:hAnsi="Arial" w:cs="Times New Roman"/>
          <w:b/>
          <w:lang w:eastAsia="en-GB"/>
        </w:rPr>
      </w:pPr>
    </w:p>
    <w:p w14:paraId="18907A6C" w14:textId="77777777" w:rsidR="00EE4620" w:rsidRPr="00EE4620" w:rsidRDefault="00EE4620" w:rsidP="00EE4620">
      <w:pPr>
        <w:spacing w:after="0" w:line="240" w:lineRule="auto"/>
        <w:rPr>
          <w:rFonts w:ascii="Arial" w:eastAsia="Times New Roman" w:hAnsi="Arial" w:cs="Times New Roman"/>
          <w:b/>
          <w:lang w:eastAsia="en-GB"/>
        </w:rPr>
      </w:pPr>
      <w:r w:rsidRPr="00EE4620">
        <w:rPr>
          <w:rFonts w:ascii="Arial" w:eastAsia="Times New Roman" w:hAnsi="Arial" w:cs="Times New Roman"/>
          <w:b/>
          <w:lang w:eastAsia="en-GB"/>
        </w:rPr>
        <w:t xml:space="preserve">Knowledge of the LGA </w:t>
      </w:r>
    </w:p>
    <w:p w14:paraId="18907A6D" w14:textId="77777777" w:rsidR="00EE4620" w:rsidRPr="00EE4620" w:rsidRDefault="00EE4620" w:rsidP="00EE4620">
      <w:pPr>
        <w:spacing w:after="0" w:line="240" w:lineRule="auto"/>
        <w:rPr>
          <w:rFonts w:ascii="Arial" w:eastAsia="Times New Roman" w:hAnsi="Arial" w:cs="Times New Roman"/>
          <w:lang w:eastAsia="en-GB"/>
        </w:rPr>
      </w:pPr>
    </w:p>
    <w:p w14:paraId="18907A6E" w14:textId="6AEECD95" w:rsidR="00EE4620" w:rsidRPr="00EE4620" w:rsidRDefault="00EE4620" w:rsidP="002119A4">
      <w:pPr>
        <w:numPr>
          <w:ilvl w:val="0"/>
          <w:numId w:val="3"/>
        </w:numPr>
        <w:spacing w:before="120" w:after="360" w:line="240" w:lineRule="auto"/>
        <w:ind w:left="567" w:hanging="567"/>
        <w:contextualSpacing/>
        <w:rPr>
          <w:rFonts w:ascii="Arial" w:eastAsia="Times New Roman" w:hAnsi="Arial" w:cs="Times New Roman"/>
          <w:lang w:eastAsia="en-GB"/>
        </w:rPr>
      </w:pPr>
      <w:r w:rsidRPr="00EE4620">
        <w:rPr>
          <w:rFonts w:ascii="Arial" w:eastAsia="Times New Roman" w:hAnsi="Arial" w:cs="Times New Roman"/>
          <w:lang w:eastAsia="en-GB"/>
        </w:rPr>
        <w:t xml:space="preserve">Knowledge of the LGA is high with </w:t>
      </w:r>
      <w:r w:rsidRPr="00EE4620">
        <w:rPr>
          <w:rFonts w:ascii="Arial" w:eastAsia="Times New Roman" w:hAnsi="Arial" w:cs="Times New Roman"/>
          <w:b/>
          <w:lang w:eastAsia="en-GB"/>
        </w:rPr>
        <w:t xml:space="preserve">72 per cent </w:t>
      </w:r>
      <w:r w:rsidRPr="00EE4620">
        <w:rPr>
          <w:rFonts w:ascii="Arial" w:eastAsia="Times New Roman" w:hAnsi="Arial" w:cs="Times New Roman"/>
          <w:lang w:eastAsia="en-GB"/>
        </w:rPr>
        <w:t>of people saying they know a ‘fair amount’ or ‘a great deal’ about the LGA.  This is a significantly higher proportion than in 2012 (61 per cent).</w:t>
      </w:r>
    </w:p>
    <w:p w14:paraId="18907A6F" w14:textId="77777777" w:rsidR="00EE4620" w:rsidRPr="00EE4620" w:rsidRDefault="00EE4620" w:rsidP="00EE4620">
      <w:pPr>
        <w:spacing w:after="0" w:line="240" w:lineRule="auto"/>
        <w:rPr>
          <w:rFonts w:ascii="Arial" w:eastAsia="Times New Roman" w:hAnsi="Arial" w:cs="Times New Roman"/>
          <w:lang w:eastAsia="en-GB"/>
        </w:rPr>
      </w:pPr>
    </w:p>
    <w:p w14:paraId="18907A70" w14:textId="4C37DF01" w:rsidR="00EE4620" w:rsidRPr="00EE4620" w:rsidRDefault="00EE4620" w:rsidP="002119A4">
      <w:pPr>
        <w:numPr>
          <w:ilvl w:val="0"/>
          <w:numId w:val="3"/>
        </w:numPr>
        <w:spacing w:before="120" w:after="360" w:line="240" w:lineRule="auto"/>
        <w:ind w:left="567" w:hanging="567"/>
        <w:contextualSpacing/>
        <w:rPr>
          <w:rFonts w:ascii="Arial" w:eastAsia="Times New Roman" w:hAnsi="Arial" w:cs="Arial"/>
          <w:szCs w:val="20"/>
          <w:lang w:eastAsia="en-GB"/>
        </w:rPr>
      </w:pPr>
      <w:r w:rsidRPr="00EE4620">
        <w:rPr>
          <w:rFonts w:ascii="Arial" w:eastAsia="Times New Roman" w:hAnsi="Arial" w:cs="Times New Roman"/>
          <w:szCs w:val="20"/>
          <w:lang w:eastAsia="en-GB"/>
        </w:rPr>
        <w:t xml:space="preserve">Leaders and chief executives are particularly likely to be knowledgeable about the LGA, with backbenchers least likely to feel they ‘know a great deal about it’.  </w:t>
      </w:r>
    </w:p>
    <w:p w14:paraId="18907A71" w14:textId="77777777" w:rsidR="00EE4620" w:rsidRPr="00EE4620" w:rsidRDefault="00EE4620" w:rsidP="00EE4620">
      <w:pPr>
        <w:spacing w:after="0" w:line="240" w:lineRule="auto"/>
        <w:rPr>
          <w:rFonts w:ascii="Arial" w:eastAsia="Times New Roman" w:hAnsi="Arial" w:cs="Arial"/>
          <w:szCs w:val="20"/>
          <w:lang w:eastAsia="en-GB"/>
        </w:rPr>
      </w:pPr>
    </w:p>
    <w:p w14:paraId="18907A72" w14:textId="77777777" w:rsidR="00EE4620" w:rsidRPr="00EE4620" w:rsidRDefault="00EE4620" w:rsidP="00EE4620">
      <w:pPr>
        <w:spacing w:after="0" w:line="240" w:lineRule="auto"/>
        <w:rPr>
          <w:rFonts w:ascii="Arial" w:eastAsia="Times New Roman" w:hAnsi="Arial" w:cs="Times New Roman"/>
          <w:lang w:eastAsia="en-GB"/>
        </w:rPr>
      </w:pPr>
    </w:p>
    <w:p w14:paraId="18907A73" w14:textId="77777777" w:rsidR="00EE4620" w:rsidRPr="00EE4620" w:rsidRDefault="00EE4620" w:rsidP="00EE4620">
      <w:pPr>
        <w:spacing w:after="0" w:line="240" w:lineRule="auto"/>
        <w:rPr>
          <w:rFonts w:ascii="Arial" w:eastAsia="Times New Roman" w:hAnsi="Arial" w:cs="Times New Roman"/>
          <w:lang w:eastAsia="en-GB"/>
        </w:rPr>
      </w:pPr>
    </w:p>
    <w:p w14:paraId="18907A74" w14:textId="77777777" w:rsidR="00EE4620" w:rsidRPr="00EE4620" w:rsidRDefault="00EE4620" w:rsidP="00EE4620">
      <w:pPr>
        <w:spacing w:after="0" w:line="240" w:lineRule="auto"/>
        <w:rPr>
          <w:rFonts w:ascii="Arial" w:eastAsia="Times New Roman" w:hAnsi="Arial" w:cs="Arial"/>
          <w:b/>
          <w:lang w:eastAsia="en-GB"/>
        </w:rPr>
      </w:pPr>
      <w:r w:rsidRPr="00EE4620">
        <w:rPr>
          <w:rFonts w:ascii="Arial" w:eastAsia="Times New Roman" w:hAnsi="Arial" w:cs="Arial"/>
          <w:b/>
          <w:lang w:eastAsia="en-GB"/>
        </w:rPr>
        <w:br w:type="page"/>
      </w:r>
    </w:p>
    <w:p w14:paraId="18907A75" w14:textId="77777777" w:rsidR="00EE4620" w:rsidRPr="00EE4620" w:rsidRDefault="00EE4620" w:rsidP="00EE4620">
      <w:pPr>
        <w:spacing w:after="0" w:line="240" w:lineRule="auto"/>
        <w:rPr>
          <w:rFonts w:ascii="Arial" w:eastAsia="Times New Roman" w:hAnsi="Arial" w:cs="Arial"/>
          <w:b/>
          <w:lang w:eastAsia="en-GB"/>
        </w:rPr>
      </w:pPr>
      <w:r w:rsidRPr="00EE4620">
        <w:rPr>
          <w:rFonts w:ascii="Arial" w:eastAsia="Times New Roman" w:hAnsi="Arial" w:cs="Arial"/>
          <w:b/>
          <w:lang w:eastAsia="en-GB"/>
        </w:rPr>
        <w:lastRenderedPageBreak/>
        <w:t xml:space="preserve">Table 2 - How well would you say you know the LGA? </w:t>
      </w:r>
    </w:p>
    <w:p w14:paraId="18907A76" w14:textId="77777777" w:rsidR="00EE4620" w:rsidRPr="00EE4620" w:rsidRDefault="00EE4620" w:rsidP="00EE4620">
      <w:pPr>
        <w:spacing w:after="0" w:line="240" w:lineRule="auto"/>
        <w:rPr>
          <w:rFonts w:ascii="Arial" w:eastAsia="Times New Roman" w:hAnsi="Arial" w:cs="Arial"/>
          <w:sz w:val="24"/>
          <w:szCs w:val="24"/>
          <w:lang w:eastAsia="en-GB"/>
        </w:rPr>
      </w:pPr>
      <w:r w:rsidRPr="00EE4620">
        <w:rPr>
          <w:rFonts w:ascii="Arial" w:eastAsia="Times New Roman" w:hAnsi="Arial" w:cs="Times New Roman"/>
          <w:noProof/>
          <w:sz w:val="24"/>
          <w:szCs w:val="20"/>
          <w:lang w:eastAsia="en-GB"/>
        </w:rPr>
        <w:drawing>
          <wp:inline distT="0" distB="0" distL="0" distR="0" wp14:anchorId="18907CF0" wp14:editId="18907CF1">
            <wp:extent cx="5857240" cy="373380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8907A77" w14:textId="77777777" w:rsidR="00EE4620" w:rsidRPr="00EE4620" w:rsidRDefault="00EE4620" w:rsidP="00EE4620">
      <w:pPr>
        <w:spacing w:after="0" w:line="240" w:lineRule="auto"/>
        <w:rPr>
          <w:rFonts w:ascii="Arial" w:eastAsia="Times New Roman" w:hAnsi="Arial" w:cs="Times New Roman"/>
          <w:b/>
          <w:lang w:eastAsia="en-GB"/>
        </w:rPr>
      </w:pPr>
    </w:p>
    <w:p w14:paraId="18907A78" w14:textId="77777777" w:rsidR="00EE4620" w:rsidRPr="00EE4620" w:rsidRDefault="00EE4620" w:rsidP="00EE4620">
      <w:pPr>
        <w:spacing w:after="0" w:line="240" w:lineRule="auto"/>
        <w:rPr>
          <w:rFonts w:ascii="Arial" w:eastAsia="Times New Roman" w:hAnsi="Arial" w:cs="Times New Roman"/>
          <w:b/>
          <w:lang w:eastAsia="en-GB"/>
        </w:rPr>
      </w:pPr>
      <w:r w:rsidRPr="00EE4620">
        <w:rPr>
          <w:rFonts w:ascii="Arial" w:eastAsia="Times New Roman" w:hAnsi="Arial" w:cs="Times New Roman"/>
          <w:b/>
          <w:lang w:eastAsia="en-GB"/>
        </w:rPr>
        <w:t>Understanding of the purpose of the LGA</w:t>
      </w:r>
    </w:p>
    <w:p w14:paraId="18907A79" w14:textId="77777777" w:rsidR="00EE4620" w:rsidRPr="00EE4620" w:rsidRDefault="00EE4620" w:rsidP="00EE4620">
      <w:pPr>
        <w:spacing w:after="0" w:line="240" w:lineRule="auto"/>
        <w:rPr>
          <w:rFonts w:ascii="Arial" w:eastAsia="Times New Roman" w:hAnsi="Arial" w:cs="Times New Roman"/>
          <w:lang w:eastAsia="en-GB"/>
        </w:rPr>
      </w:pPr>
    </w:p>
    <w:p w14:paraId="18907A7A" w14:textId="71C3D5A5" w:rsidR="00EE4620" w:rsidRPr="00EE4620" w:rsidRDefault="00EE4620" w:rsidP="002119A4">
      <w:pPr>
        <w:numPr>
          <w:ilvl w:val="0"/>
          <w:numId w:val="3"/>
        </w:numPr>
        <w:spacing w:before="120" w:after="360" w:line="240" w:lineRule="auto"/>
        <w:ind w:left="567" w:hanging="567"/>
        <w:contextualSpacing/>
        <w:rPr>
          <w:rFonts w:ascii="Arial" w:eastAsia="Times New Roman" w:hAnsi="Arial" w:cs="Arial"/>
          <w:sz w:val="24"/>
          <w:szCs w:val="24"/>
          <w:lang w:eastAsia="en-GB"/>
        </w:rPr>
      </w:pPr>
      <w:r w:rsidRPr="002119A4">
        <w:rPr>
          <w:rFonts w:ascii="Arial" w:eastAsia="Times New Roman" w:hAnsi="Arial" w:cs="Times New Roman"/>
          <w:szCs w:val="20"/>
          <w:lang w:eastAsia="en-GB"/>
        </w:rPr>
        <w:t>Understanding</w:t>
      </w:r>
      <w:r w:rsidRPr="00EE4620">
        <w:rPr>
          <w:rFonts w:ascii="Arial" w:eastAsia="Times New Roman" w:hAnsi="Arial" w:cs="Times New Roman"/>
          <w:lang w:eastAsia="en-GB"/>
        </w:rPr>
        <w:t xml:space="preserve"> of the purpose of the LGA</w:t>
      </w:r>
      <w:r w:rsidR="002119A4">
        <w:rPr>
          <w:rFonts w:ascii="Arial" w:eastAsia="Times New Roman" w:hAnsi="Arial" w:cs="Times New Roman"/>
          <w:lang w:eastAsia="en-GB"/>
        </w:rPr>
        <w:t xml:space="preserve"> is very high.  Nine out of 10 </w:t>
      </w:r>
      <w:r w:rsidRPr="00EE4620">
        <w:rPr>
          <w:rFonts w:ascii="Arial" w:eastAsia="Times New Roman" w:hAnsi="Arial" w:cs="Times New Roman"/>
          <w:lang w:eastAsia="en-GB"/>
        </w:rPr>
        <w:t xml:space="preserve">respondents </w:t>
      </w:r>
      <w:r w:rsidRPr="00EE4620">
        <w:rPr>
          <w:rFonts w:ascii="Arial" w:eastAsia="Times New Roman" w:hAnsi="Arial" w:cs="Times New Roman"/>
          <w:b/>
          <w:lang w:eastAsia="en-GB"/>
        </w:rPr>
        <w:t>(91 per cent)</w:t>
      </w:r>
      <w:r w:rsidRPr="00EE4620">
        <w:rPr>
          <w:rFonts w:ascii="Arial" w:eastAsia="Times New Roman" w:hAnsi="Arial" w:cs="Times New Roman"/>
          <w:lang w:eastAsia="en-GB"/>
        </w:rPr>
        <w:t xml:space="preserve"> agree with the stat</w:t>
      </w:r>
      <w:r w:rsidR="000A08A0">
        <w:rPr>
          <w:rFonts w:ascii="Arial" w:eastAsia="Times New Roman" w:hAnsi="Arial" w:cs="Times New Roman"/>
          <w:lang w:eastAsia="en-GB"/>
        </w:rPr>
        <w:t xml:space="preserve">ement ‘I understand the LGA’s </w:t>
      </w:r>
      <w:r w:rsidRPr="00EE4620">
        <w:rPr>
          <w:rFonts w:ascii="Arial" w:eastAsia="Times New Roman" w:hAnsi="Arial" w:cs="Times New Roman"/>
          <w:lang w:eastAsia="en-GB"/>
        </w:rPr>
        <w:t xml:space="preserve">purpose and how it works for local government.  </w:t>
      </w:r>
    </w:p>
    <w:p w14:paraId="18907A7B" w14:textId="77777777" w:rsidR="00EE4620" w:rsidRPr="00EE4620" w:rsidRDefault="00EE4620" w:rsidP="00EE4620">
      <w:pPr>
        <w:spacing w:after="0" w:line="240" w:lineRule="auto"/>
        <w:rPr>
          <w:rFonts w:ascii="Arial" w:eastAsia="Times New Roman" w:hAnsi="Arial" w:cs="Arial"/>
          <w:sz w:val="24"/>
          <w:szCs w:val="24"/>
          <w:lang w:eastAsia="en-GB"/>
        </w:rPr>
      </w:pPr>
    </w:p>
    <w:p w14:paraId="18907A7C" w14:textId="373092A1" w:rsidR="00EE4620" w:rsidRPr="00EE4620" w:rsidRDefault="00EE4620" w:rsidP="002119A4">
      <w:pPr>
        <w:numPr>
          <w:ilvl w:val="0"/>
          <w:numId w:val="3"/>
        </w:numPr>
        <w:spacing w:before="120" w:after="360" w:line="240" w:lineRule="auto"/>
        <w:ind w:left="567" w:hanging="567"/>
        <w:contextualSpacing/>
        <w:rPr>
          <w:rFonts w:ascii="Arial" w:eastAsia="Times New Roman" w:hAnsi="Arial" w:cs="Arial"/>
          <w:lang w:eastAsia="en-GB"/>
        </w:rPr>
      </w:pPr>
      <w:r w:rsidRPr="002119A4">
        <w:rPr>
          <w:rFonts w:ascii="Arial" w:eastAsia="Times New Roman" w:hAnsi="Arial" w:cs="Times New Roman"/>
          <w:szCs w:val="20"/>
          <w:lang w:eastAsia="en-GB"/>
        </w:rPr>
        <w:t>The</w:t>
      </w:r>
      <w:r w:rsidRPr="00EE4620">
        <w:rPr>
          <w:rFonts w:ascii="Arial" w:eastAsia="Times New Roman" w:hAnsi="Arial" w:cs="Arial"/>
          <w:lang w:eastAsia="en-GB"/>
        </w:rPr>
        <w:t xml:space="preserve"> number of </w:t>
      </w:r>
      <w:r w:rsidRPr="00EE4620">
        <w:rPr>
          <w:rFonts w:ascii="Arial" w:eastAsia="Times New Roman" w:hAnsi="Arial" w:cs="Arial"/>
          <w:b/>
          <w:lang w:eastAsia="en-GB"/>
        </w:rPr>
        <w:t>frontbench councillors</w:t>
      </w:r>
      <w:r w:rsidRPr="00EE4620">
        <w:rPr>
          <w:rFonts w:ascii="Arial" w:eastAsia="Times New Roman" w:hAnsi="Arial" w:cs="Arial"/>
          <w:lang w:eastAsia="en-GB"/>
        </w:rPr>
        <w:t xml:space="preserve"> and </w:t>
      </w:r>
      <w:r w:rsidRPr="00EE4620">
        <w:rPr>
          <w:rFonts w:ascii="Arial" w:eastAsia="Times New Roman" w:hAnsi="Arial" w:cs="Arial"/>
          <w:b/>
          <w:lang w:eastAsia="en-GB"/>
        </w:rPr>
        <w:t>officers</w:t>
      </w:r>
      <w:r w:rsidRPr="00EE4620">
        <w:rPr>
          <w:rFonts w:ascii="Arial" w:eastAsia="Times New Roman" w:hAnsi="Arial" w:cs="Arial"/>
          <w:lang w:eastAsia="en-GB"/>
        </w:rPr>
        <w:t xml:space="preserve"> who agree ‘a great deal’ has increased significantly since 2012.</w:t>
      </w:r>
    </w:p>
    <w:p w14:paraId="18907A7D" w14:textId="77777777" w:rsidR="00EE4620" w:rsidRPr="00EE4620" w:rsidRDefault="00EE4620" w:rsidP="00EE4620">
      <w:pPr>
        <w:spacing w:after="0" w:line="240" w:lineRule="auto"/>
        <w:rPr>
          <w:rFonts w:ascii="Arial" w:eastAsia="Times New Roman" w:hAnsi="Arial" w:cs="Arial"/>
          <w:sz w:val="24"/>
          <w:szCs w:val="24"/>
          <w:lang w:eastAsia="en-GB"/>
        </w:rPr>
      </w:pPr>
    </w:p>
    <w:p w14:paraId="18907A7E" w14:textId="4EFE6CE1" w:rsidR="00EE4620" w:rsidRPr="00EE4620" w:rsidRDefault="00EE4620" w:rsidP="002119A4">
      <w:pPr>
        <w:numPr>
          <w:ilvl w:val="0"/>
          <w:numId w:val="3"/>
        </w:numPr>
        <w:spacing w:before="120" w:after="360" w:line="240" w:lineRule="auto"/>
        <w:ind w:left="567" w:hanging="567"/>
        <w:contextualSpacing/>
        <w:rPr>
          <w:rFonts w:ascii="Arial" w:eastAsia="Times New Roman" w:hAnsi="Arial" w:cs="Arial"/>
          <w:lang w:eastAsia="en-GB"/>
        </w:rPr>
      </w:pPr>
      <w:r w:rsidRPr="002119A4">
        <w:rPr>
          <w:rFonts w:ascii="Arial" w:eastAsia="Times New Roman" w:hAnsi="Arial" w:cs="Times New Roman"/>
          <w:szCs w:val="20"/>
          <w:lang w:eastAsia="en-GB"/>
        </w:rPr>
        <w:t>The</w:t>
      </w:r>
      <w:r w:rsidRPr="00EE4620">
        <w:rPr>
          <w:rFonts w:ascii="Arial" w:eastAsia="Times New Roman" w:hAnsi="Arial" w:cs="Arial"/>
          <w:lang w:eastAsia="en-GB"/>
        </w:rPr>
        <w:t xml:space="preserve"> </w:t>
      </w:r>
      <w:r w:rsidRPr="00EE4620">
        <w:rPr>
          <w:rFonts w:ascii="Arial" w:eastAsia="Times New Roman" w:hAnsi="Arial" w:cs="Arial"/>
          <w:b/>
          <w:lang w:eastAsia="en-GB"/>
        </w:rPr>
        <w:t>South West</w:t>
      </w:r>
      <w:r w:rsidRPr="00EE4620">
        <w:rPr>
          <w:rFonts w:ascii="Arial" w:eastAsia="Times New Roman" w:hAnsi="Arial" w:cs="Arial"/>
          <w:lang w:eastAsia="en-GB"/>
        </w:rPr>
        <w:t xml:space="preserve"> (</w:t>
      </w:r>
      <w:r w:rsidRPr="00EE4620">
        <w:rPr>
          <w:rFonts w:ascii="Arial" w:eastAsia="Times New Roman" w:hAnsi="Arial" w:cs="Arial"/>
          <w:b/>
          <w:lang w:eastAsia="en-GB"/>
        </w:rPr>
        <w:t>47 per cent</w:t>
      </w:r>
      <w:r w:rsidRPr="00EE4620">
        <w:rPr>
          <w:rFonts w:ascii="Arial" w:eastAsia="Times New Roman" w:hAnsi="Arial" w:cs="Arial"/>
          <w:lang w:eastAsia="en-GB"/>
        </w:rPr>
        <w:t xml:space="preserve">), </w:t>
      </w:r>
      <w:r w:rsidRPr="00EE4620">
        <w:rPr>
          <w:rFonts w:ascii="Arial" w:eastAsia="Times New Roman" w:hAnsi="Arial" w:cs="Arial"/>
          <w:b/>
          <w:lang w:eastAsia="en-GB"/>
        </w:rPr>
        <w:t>North West</w:t>
      </w:r>
      <w:r w:rsidRPr="00EE4620">
        <w:rPr>
          <w:rFonts w:ascii="Arial" w:eastAsia="Times New Roman" w:hAnsi="Arial" w:cs="Arial"/>
          <w:lang w:eastAsia="en-GB"/>
        </w:rPr>
        <w:t xml:space="preserve"> (</w:t>
      </w:r>
      <w:r w:rsidRPr="00EE4620">
        <w:rPr>
          <w:rFonts w:ascii="Arial" w:eastAsia="Times New Roman" w:hAnsi="Arial" w:cs="Arial"/>
          <w:b/>
          <w:lang w:eastAsia="en-GB"/>
        </w:rPr>
        <w:t>46 per cent</w:t>
      </w:r>
      <w:r w:rsidRPr="00EE4620">
        <w:rPr>
          <w:rFonts w:ascii="Arial" w:eastAsia="Times New Roman" w:hAnsi="Arial" w:cs="Arial"/>
          <w:lang w:eastAsia="en-GB"/>
        </w:rPr>
        <w:t xml:space="preserve">) and </w:t>
      </w:r>
      <w:r w:rsidRPr="00EE4620">
        <w:rPr>
          <w:rFonts w:ascii="Arial" w:eastAsia="Times New Roman" w:hAnsi="Arial" w:cs="Arial"/>
          <w:b/>
          <w:lang w:eastAsia="en-GB"/>
        </w:rPr>
        <w:t>East Midlands</w:t>
      </w:r>
      <w:r w:rsidRPr="00EE4620">
        <w:rPr>
          <w:rFonts w:ascii="Arial" w:eastAsia="Times New Roman" w:hAnsi="Arial" w:cs="Arial"/>
          <w:lang w:eastAsia="en-GB"/>
        </w:rPr>
        <w:t xml:space="preserve"> (</w:t>
      </w:r>
      <w:r w:rsidRPr="00EE4620">
        <w:rPr>
          <w:rFonts w:ascii="Arial" w:eastAsia="Times New Roman" w:hAnsi="Arial" w:cs="Arial"/>
          <w:b/>
          <w:lang w:eastAsia="en-GB"/>
        </w:rPr>
        <w:t>45 per cent</w:t>
      </w:r>
      <w:r w:rsidRPr="00EE4620">
        <w:rPr>
          <w:rFonts w:ascii="Arial" w:eastAsia="Times New Roman" w:hAnsi="Arial" w:cs="Arial"/>
          <w:lang w:eastAsia="en-GB"/>
        </w:rPr>
        <w:t xml:space="preserve">) are most likely to agree ‘a great deal’, with those in </w:t>
      </w:r>
      <w:r w:rsidRPr="00EE4620">
        <w:rPr>
          <w:rFonts w:ascii="Arial" w:eastAsia="Times New Roman" w:hAnsi="Arial" w:cs="Arial"/>
          <w:b/>
          <w:lang w:eastAsia="en-GB"/>
        </w:rPr>
        <w:t>London and the South East</w:t>
      </w:r>
      <w:r w:rsidRPr="00EE4620">
        <w:rPr>
          <w:rFonts w:ascii="Arial" w:eastAsia="Times New Roman" w:hAnsi="Arial" w:cs="Arial"/>
          <w:lang w:eastAsia="en-GB"/>
        </w:rPr>
        <w:t xml:space="preserve"> least likely to do so (</w:t>
      </w:r>
      <w:r w:rsidRPr="00EE4620">
        <w:rPr>
          <w:rFonts w:ascii="Arial" w:eastAsia="Times New Roman" w:hAnsi="Arial" w:cs="Arial"/>
          <w:b/>
          <w:lang w:eastAsia="en-GB"/>
        </w:rPr>
        <w:t>both 32 per cent</w:t>
      </w:r>
      <w:r w:rsidRPr="00EE4620">
        <w:rPr>
          <w:rFonts w:ascii="Arial" w:eastAsia="Times New Roman" w:hAnsi="Arial" w:cs="Arial"/>
          <w:lang w:eastAsia="en-GB"/>
        </w:rPr>
        <w:t>).</w:t>
      </w:r>
    </w:p>
    <w:p w14:paraId="18907A7F" w14:textId="77777777" w:rsidR="00EE4620" w:rsidRPr="00EE4620" w:rsidRDefault="00EE4620" w:rsidP="00EE4620">
      <w:pPr>
        <w:spacing w:after="0" w:line="240" w:lineRule="auto"/>
        <w:rPr>
          <w:rFonts w:ascii="Arial" w:eastAsia="Times New Roman" w:hAnsi="Arial" w:cs="Arial"/>
          <w:b/>
          <w:lang w:eastAsia="en-GB"/>
        </w:rPr>
      </w:pPr>
      <w:r w:rsidRPr="00EE4620">
        <w:rPr>
          <w:rFonts w:ascii="Arial" w:eastAsia="Times New Roman" w:hAnsi="Arial" w:cs="Arial"/>
          <w:b/>
          <w:lang w:eastAsia="en-GB"/>
        </w:rPr>
        <w:br w:type="page"/>
      </w:r>
    </w:p>
    <w:p w14:paraId="18907A80" w14:textId="77777777" w:rsidR="00EE4620" w:rsidRPr="00EE4620" w:rsidRDefault="00EE4620" w:rsidP="00EE4620">
      <w:pPr>
        <w:spacing w:after="0" w:line="240" w:lineRule="auto"/>
        <w:rPr>
          <w:rFonts w:ascii="Arial" w:eastAsia="Times New Roman" w:hAnsi="Arial" w:cs="Arial"/>
          <w:b/>
          <w:lang w:eastAsia="en-GB"/>
        </w:rPr>
      </w:pPr>
    </w:p>
    <w:p w14:paraId="18907A81" w14:textId="77777777" w:rsidR="00EE4620" w:rsidRPr="00EE4620" w:rsidRDefault="00EE4620" w:rsidP="00EE4620">
      <w:pPr>
        <w:spacing w:after="0" w:line="240" w:lineRule="auto"/>
        <w:rPr>
          <w:rFonts w:ascii="Arial" w:eastAsia="Times New Roman" w:hAnsi="Arial" w:cs="Arial"/>
          <w:b/>
          <w:lang w:eastAsia="en-GB"/>
        </w:rPr>
      </w:pPr>
      <w:r w:rsidRPr="00EE4620">
        <w:rPr>
          <w:rFonts w:ascii="Arial" w:eastAsia="Times New Roman" w:hAnsi="Arial" w:cs="Arial"/>
          <w:b/>
          <w:lang w:eastAsia="en-GB"/>
        </w:rPr>
        <w:t xml:space="preserve">Table 3 – To what extent do you agree or disagree with the statement ‘I understand the LGA’s purpose and how it works for local government’? </w:t>
      </w:r>
    </w:p>
    <w:p w14:paraId="18907A82" w14:textId="77777777" w:rsidR="00EE4620" w:rsidRPr="00EE4620" w:rsidRDefault="00EE4620" w:rsidP="00EE4620">
      <w:pPr>
        <w:spacing w:after="0" w:line="240" w:lineRule="auto"/>
        <w:rPr>
          <w:rFonts w:ascii="Arial" w:eastAsia="Times New Roman" w:hAnsi="Arial" w:cs="Times New Roman"/>
          <w:lang w:eastAsia="en-GB"/>
        </w:rPr>
      </w:pPr>
      <w:r w:rsidRPr="00EE4620">
        <w:rPr>
          <w:rFonts w:ascii="Arial" w:eastAsia="Times New Roman" w:hAnsi="Arial" w:cs="Times New Roman"/>
          <w:noProof/>
          <w:lang w:eastAsia="en-GB"/>
        </w:rPr>
        <w:drawing>
          <wp:anchor distT="0" distB="1385" distL="114300" distR="116725" simplePos="0" relativeHeight="251660288" behindDoc="0" locked="0" layoutInCell="1" allowOverlap="1" wp14:anchorId="18907CF2" wp14:editId="18907CF3">
            <wp:simplePos x="0" y="0"/>
            <wp:positionH relativeFrom="column">
              <wp:posOffset>-280035</wp:posOffset>
            </wp:positionH>
            <wp:positionV relativeFrom="paragraph">
              <wp:posOffset>229235</wp:posOffset>
            </wp:positionV>
            <wp:extent cx="5274310" cy="3150870"/>
            <wp:effectExtent l="0" t="0" r="2540" b="0"/>
            <wp:wrapSquare wrapText="bothSides"/>
            <wp:docPr id="2"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18907A83" w14:textId="77777777" w:rsidR="00EE4620" w:rsidRPr="00EE4620" w:rsidRDefault="00EE4620" w:rsidP="00EE4620">
      <w:pPr>
        <w:spacing w:after="0" w:line="240" w:lineRule="auto"/>
        <w:rPr>
          <w:rFonts w:ascii="Arial" w:eastAsia="Times New Roman" w:hAnsi="Arial" w:cs="Times New Roman"/>
          <w:lang w:eastAsia="en-GB"/>
        </w:rPr>
      </w:pPr>
    </w:p>
    <w:p w14:paraId="18907A84" w14:textId="77777777" w:rsidR="00EE4620" w:rsidRPr="00EE4620" w:rsidRDefault="00EE4620" w:rsidP="00EE4620">
      <w:pPr>
        <w:spacing w:after="0" w:line="240" w:lineRule="auto"/>
        <w:rPr>
          <w:rFonts w:ascii="Arial" w:eastAsia="Times New Roman" w:hAnsi="Arial" w:cs="Times New Roman"/>
          <w:lang w:eastAsia="en-GB"/>
        </w:rPr>
      </w:pPr>
    </w:p>
    <w:p w14:paraId="18907A85" w14:textId="77777777" w:rsidR="00EE4620" w:rsidRPr="00EE4620" w:rsidRDefault="00EE4620" w:rsidP="00EE4620">
      <w:pPr>
        <w:spacing w:after="0" w:line="240" w:lineRule="auto"/>
        <w:rPr>
          <w:rFonts w:ascii="Arial" w:eastAsia="Times New Roman" w:hAnsi="Arial" w:cs="Times New Roman"/>
          <w:lang w:eastAsia="en-GB"/>
        </w:rPr>
      </w:pPr>
    </w:p>
    <w:p w14:paraId="18907A86" w14:textId="77777777" w:rsidR="00EE4620" w:rsidRPr="00EE4620" w:rsidRDefault="00EE4620" w:rsidP="00EE4620">
      <w:pPr>
        <w:spacing w:after="0" w:line="240" w:lineRule="auto"/>
        <w:rPr>
          <w:rFonts w:ascii="Arial" w:eastAsia="Times New Roman" w:hAnsi="Arial" w:cs="Times New Roman"/>
          <w:lang w:eastAsia="en-GB"/>
        </w:rPr>
      </w:pPr>
    </w:p>
    <w:p w14:paraId="18907A87" w14:textId="77777777" w:rsidR="00EE4620" w:rsidRPr="00EE4620" w:rsidRDefault="00EE4620" w:rsidP="00EE4620">
      <w:pPr>
        <w:spacing w:after="0" w:line="240" w:lineRule="auto"/>
        <w:rPr>
          <w:rFonts w:ascii="Arial" w:eastAsia="Times New Roman" w:hAnsi="Arial" w:cs="Times New Roman"/>
          <w:lang w:eastAsia="en-GB"/>
        </w:rPr>
      </w:pPr>
    </w:p>
    <w:p w14:paraId="18907A88" w14:textId="77777777" w:rsidR="00EE4620" w:rsidRPr="00EE4620" w:rsidRDefault="00EE4620" w:rsidP="00EE4620">
      <w:pPr>
        <w:spacing w:after="0" w:line="240" w:lineRule="auto"/>
        <w:rPr>
          <w:rFonts w:ascii="Arial" w:eastAsia="Times New Roman" w:hAnsi="Arial" w:cs="Times New Roman"/>
          <w:lang w:eastAsia="en-GB"/>
        </w:rPr>
      </w:pPr>
    </w:p>
    <w:p w14:paraId="18907A89" w14:textId="77777777" w:rsidR="00EE4620" w:rsidRPr="00EE4620" w:rsidRDefault="00EE4620" w:rsidP="00EE4620">
      <w:pPr>
        <w:spacing w:after="0" w:line="240" w:lineRule="auto"/>
        <w:rPr>
          <w:rFonts w:ascii="Arial" w:eastAsia="Times New Roman" w:hAnsi="Arial" w:cs="Times New Roman"/>
          <w:lang w:eastAsia="en-GB"/>
        </w:rPr>
      </w:pPr>
    </w:p>
    <w:p w14:paraId="18907A8A" w14:textId="77777777" w:rsidR="00EE4620" w:rsidRPr="00EE4620" w:rsidRDefault="00EE4620" w:rsidP="00EE4620">
      <w:pPr>
        <w:spacing w:after="0" w:line="240" w:lineRule="auto"/>
        <w:rPr>
          <w:rFonts w:ascii="Arial" w:eastAsia="Times New Roman" w:hAnsi="Arial" w:cs="Times New Roman"/>
          <w:lang w:eastAsia="en-GB"/>
        </w:rPr>
      </w:pPr>
    </w:p>
    <w:p w14:paraId="18907A8B" w14:textId="77777777" w:rsidR="00EE4620" w:rsidRPr="00EE4620" w:rsidRDefault="00EE4620" w:rsidP="00EE4620">
      <w:pPr>
        <w:spacing w:after="0" w:line="240" w:lineRule="auto"/>
        <w:rPr>
          <w:rFonts w:ascii="Arial" w:eastAsia="Times New Roman" w:hAnsi="Arial" w:cs="Times New Roman"/>
          <w:lang w:eastAsia="en-GB"/>
        </w:rPr>
      </w:pPr>
    </w:p>
    <w:p w14:paraId="18907A8C" w14:textId="77777777" w:rsidR="00EE4620" w:rsidRPr="00EE4620" w:rsidRDefault="00EE4620" w:rsidP="00EE4620">
      <w:pPr>
        <w:spacing w:after="0" w:line="240" w:lineRule="auto"/>
        <w:rPr>
          <w:rFonts w:ascii="Arial" w:eastAsia="Times New Roman" w:hAnsi="Arial" w:cs="Times New Roman"/>
          <w:lang w:eastAsia="en-GB"/>
        </w:rPr>
      </w:pPr>
    </w:p>
    <w:p w14:paraId="18907A8D" w14:textId="77777777" w:rsidR="00EE4620" w:rsidRPr="00EE4620" w:rsidRDefault="00EE4620" w:rsidP="00EE4620">
      <w:pPr>
        <w:spacing w:after="0" w:line="240" w:lineRule="auto"/>
        <w:rPr>
          <w:rFonts w:ascii="Arial" w:eastAsia="Times New Roman" w:hAnsi="Arial" w:cs="Times New Roman"/>
          <w:lang w:eastAsia="en-GB"/>
        </w:rPr>
      </w:pPr>
    </w:p>
    <w:p w14:paraId="18907A8E" w14:textId="77777777" w:rsidR="00EE4620" w:rsidRPr="00EE4620" w:rsidRDefault="00EE4620" w:rsidP="00EE4620">
      <w:pPr>
        <w:spacing w:after="0" w:line="240" w:lineRule="auto"/>
        <w:rPr>
          <w:rFonts w:ascii="Arial" w:eastAsia="Times New Roman" w:hAnsi="Arial" w:cs="Times New Roman"/>
          <w:lang w:eastAsia="en-GB"/>
        </w:rPr>
      </w:pPr>
    </w:p>
    <w:p w14:paraId="18907A8F" w14:textId="77777777" w:rsidR="00EE4620" w:rsidRPr="00EE4620" w:rsidRDefault="00EE4620" w:rsidP="00EE4620">
      <w:pPr>
        <w:spacing w:after="0" w:line="240" w:lineRule="auto"/>
        <w:rPr>
          <w:rFonts w:ascii="Arial" w:eastAsia="Times New Roman" w:hAnsi="Arial" w:cs="Times New Roman"/>
          <w:lang w:eastAsia="en-GB"/>
        </w:rPr>
      </w:pPr>
    </w:p>
    <w:p w14:paraId="18907A90" w14:textId="77777777" w:rsidR="00EE4620" w:rsidRPr="00EE4620" w:rsidRDefault="00EE4620" w:rsidP="00EE4620">
      <w:pPr>
        <w:spacing w:after="0" w:line="240" w:lineRule="auto"/>
        <w:rPr>
          <w:rFonts w:ascii="Arial" w:eastAsia="Times New Roman" w:hAnsi="Arial" w:cs="Times New Roman"/>
          <w:lang w:eastAsia="en-GB"/>
        </w:rPr>
      </w:pPr>
    </w:p>
    <w:p w14:paraId="18907A91" w14:textId="77777777" w:rsidR="00EE4620" w:rsidRPr="00EE4620" w:rsidRDefault="00EE4620" w:rsidP="00EE4620">
      <w:pPr>
        <w:spacing w:after="0" w:line="240" w:lineRule="auto"/>
        <w:rPr>
          <w:rFonts w:ascii="Arial" w:eastAsia="Times New Roman" w:hAnsi="Arial" w:cs="Times New Roman"/>
          <w:lang w:eastAsia="en-GB"/>
        </w:rPr>
      </w:pPr>
    </w:p>
    <w:p w14:paraId="18907A92" w14:textId="77777777" w:rsidR="00EE4620" w:rsidRPr="00EE4620" w:rsidRDefault="00EE4620" w:rsidP="00EE4620">
      <w:pPr>
        <w:spacing w:after="0" w:line="240" w:lineRule="auto"/>
        <w:rPr>
          <w:rFonts w:ascii="Arial" w:eastAsia="Times New Roman" w:hAnsi="Arial" w:cs="Times New Roman"/>
          <w:lang w:eastAsia="en-GB"/>
        </w:rPr>
      </w:pPr>
    </w:p>
    <w:p w14:paraId="18907A93" w14:textId="77777777" w:rsidR="00EE4620" w:rsidRPr="00EE4620" w:rsidRDefault="00EE4620" w:rsidP="00EE4620">
      <w:pPr>
        <w:spacing w:after="0" w:line="240" w:lineRule="auto"/>
        <w:rPr>
          <w:rFonts w:ascii="Arial" w:eastAsia="Times New Roman" w:hAnsi="Arial" w:cs="Times New Roman"/>
          <w:lang w:eastAsia="en-GB"/>
        </w:rPr>
      </w:pPr>
    </w:p>
    <w:p w14:paraId="18907A94" w14:textId="77777777" w:rsidR="00EE4620" w:rsidRPr="00EE4620" w:rsidRDefault="00EE4620" w:rsidP="00EE4620">
      <w:pPr>
        <w:spacing w:after="0" w:line="240" w:lineRule="auto"/>
        <w:rPr>
          <w:rFonts w:ascii="Arial" w:eastAsia="Times New Roman" w:hAnsi="Arial" w:cs="Times New Roman"/>
          <w:lang w:eastAsia="en-GB"/>
        </w:rPr>
      </w:pPr>
    </w:p>
    <w:p w14:paraId="18907A95" w14:textId="77777777" w:rsidR="00EE4620" w:rsidRPr="00EE4620" w:rsidRDefault="00EE4620" w:rsidP="00EE4620">
      <w:pPr>
        <w:spacing w:after="0" w:line="240" w:lineRule="auto"/>
        <w:rPr>
          <w:rFonts w:ascii="Arial" w:eastAsia="Times New Roman" w:hAnsi="Arial" w:cs="Times New Roman"/>
          <w:lang w:eastAsia="en-GB"/>
        </w:rPr>
      </w:pPr>
    </w:p>
    <w:p w14:paraId="18907A96" w14:textId="77777777" w:rsidR="00EE4620" w:rsidRPr="00EE4620" w:rsidRDefault="00EE4620" w:rsidP="00EE4620">
      <w:pPr>
        <w:spacing w:after="0" w:line="240" w:lineRule="auto"/>
        <w:rPr>
          <w:rFonts w:ascii="Arial" w:eastAsia="Times New Roman" w:hAnsi="Arial" w:cs="Times New Roman"/>
          <w:lang w:eastAsia="en-GB"/>
        </w:rPr>
      </w:pPr>
    </w:p>
    <w:p w14:paraId="18907A97" w14:textId="77777777" w:rsidR="00EE4620" w:rsidRPr="00EE4620" w:rsidRDefault="00EE4620" w:rsidP="00EE4620">
      <w:pPr>
        <w:spacing w:after="0" w:line="240" w:lineRule="auto"/>
        <w:rPr>
          <w:rFonts w:ascii="Arial" w:eastAsia="Times New Roman" w:hAnsi="Arial" w:cs="Times New Roman"/>
          <w:lang w:eastAsia="en-GB"/>
        </w:rPr>
      </w:pPr>
    </w:p>
    <w:p w14:paraId="18907A98" w14:textId="77777777" w:rsidR="00EE4620" w:rsidRPr="00EE4620" w:rsidRDefault="00EE4620" w:rsidP="00EE4620">
      <w:pPr>
        <w:spacing w:after="0" w:line="240" w:lineRule="auto"/>
        <w:rPr>
          <w:rFonts w:ascii="Arial" w:eastAsia="Times New Roman" w:hAnsi="Arial" w:cs="Times New Roman"/>
          <w:lang w:eastAsia="en-GB"/>
        </w:rPr>
      </w:pPr>
      <w:r w:rsidRPr="00EE4620">
        <w:rPr>
          <w:rFonts w:ascii="Arial" w:eastAsia="Times New Roman" w:hAnsi="Arial" w:cs="Times New Roman"/>
          <w:b/>
          <w:lang w:eastAsia="en-GB"/>
        </w:rPr>
        <w:t>Advocacy</w:t>
      </w:r>
    </w:p>
    <w:p w14:paraId="18907A99" w14:textId="77777777" w:rsidR="00EE4620" w:rsidRPr="00EE4620" w:rsidRDefault="00EE4620" w:rsidP="00EE4620">
      <w:pPr>
        <w:spacing w:after="0" w:line="240" w:lineRule="auto"/>
        <w:rPr>
          <w:rFonts w:ascii="Arial" w:eastAsia="Times New Roman" w:hAnsi="Arial" w:cs="Times New Roman"/>
          <w:b/>
          <w:lang w:eastAsia="en-GB"/>
        </w:rPr>
      </w:pPr>
    </w:p>
    <w:p w14:paraId="18907A9A" w14:textId="5C67FAD9" w:rsidR="00EE4620" w:rsidRPr="00EE4620" w:rsidRDefault="00EE4620" w:rsidP="002119A4">
      <w:pPr>
        <w:numPr>
          <w:ilvl w:val="0"/>
          <w:numId w:val="3"/>
        </w:numPr>
        <w:spacing w:before="120" w:after="360" w:line="240" w:lineRule="auto"/>
        <w:ind w:left="567" w:hanging="567"/>
        <w:contextualSpacing/>
        <w:rPr>
          <w:rFonts w:ascii="Arial" w:eastAsia="Times New Roman" w:hAnsi="Arial" w:cs="Times New Roman"/>
          <w:lang w:eastAsia="en-GB"/>
        </w:rPr>
      </w:pPr>
      <w:r w:rsidRPr="00EE4620">
        <w:rPr>
          <w:rFonts w:ascii="Arial" w:eastAsia="Times New Roman" w:hAnsi="Arial" w:cs="Times New Roman"/>
          <w:b/>
          <w:lang w:eastAsia="en-GB"/>
        </w:rPr>
        <w:t>Seventy two</w:t>
      </w:r>
      <w:r w:rsidRPr="00EE4620">
        <w:rPr>
          <w:rFonts w:ascii="Arial" w:eastAsia="Times New Roman" w:hAnsi="Arial" w:cs="Times New Roman"/>
          <w:lang w:eastAsia="en-GB"/>
        </w:rPr>
        <w:t xml:space="preserve"> </w:t>
      </w:r>
      <w:r w:rsidRPr="00EE4620">
        <w:rPr>
          <w:rFonts w:ascii="Arial" w:eastAsia="Times New Roman" w:hAnsi="Arial" w:cs="Times New Roman"/>
          <w:b/>
          <w:lang w:eastAsia="en-GB"/>
        </w:rPr>
        <w:t>per cent</w:t>
      </w:r>
      <w:r w:rsidRPr="00EE4620">
        <w:rPr>
          <w:rFonts w:ascii="Arial" w:eastAsia="Times New Roman" w:hAnsi="Arial" w:cs="Times New Roman"/>
          <w:lang w:eastAsia="en-GB"/>
        </w:rPr>
        <w:t xml:space="preserve"> say they would ‘speak positively’ about the LGA to others (</w:t>
      </w:r>
      <w:r w:rsidRPr="002119A4">
        <w:rPr>
          <w:rFonts w:ascii="Arial" w:eastAsia="Times New Roman" w:hAnsi="Arial" w:cs="Times New Roman"/>
          <w:szCs w:val="20"/>
          <w:lang w:eastAsia="en-GB"/>
        </w:rPr>
        <w:t>either</w:t>
      </w:r>
      <w:r w:rsidRPr="00EE4620">
        <w:rPr>
          <w:rFonts w:ascii="Arial" w:eastAsia="Times New Roman" w:hAnsi="Arial" w:cs="Times New Roman"/>
          <w:lang w:eastAsia="en-GB"/>
        </w:rPr>
        <w:t xml:space="preserve"> spontaneously or if asked).  This is a significantly higher proportion than in 2012 (63 per cent).  Only four per cent of respondents said they would speak negatively about the LGA to others.</w:t>
      </w:r>
    </w:p>
    <w:p w14:paraId="18907A9B" w14:textId="77777777" w:rsidR="00EE4620" w:rsidRPr="00EE4620" w:rsidRDefault="00EE4620" w:rsidP="00EE4620">
      <w:pPr>
        <w:spacing w:after="0" w:line="240" w:lineRule="auto"/>
        <w:jc w:val="both"/>
        <w:rPr>
          <w:rFonts w:ascii="Arial" w:eastAsia="Times New Roman" w:hAnsi="Arial" w:cs="Times New Roman"/>
          <w:lang w:eastAsia="en-GB"/>
        </w:rPr>
      </w:pPr>
    </w:p>
    <w:p w14:paraId="18907A9C" w14:textId="28DC6376" w:rsidR="00EE4620" w:rsidRPr="00EE4620" w:rsidRDefault="00EE4620" w:rsidP="002119A4">
      <w:pPr>
        <w:numPr>
          <w:ilvl w:val="0"/>
          <w:numId w:val="3"/>
        </w:numPr>
        <w:spacing w:before="120" w:after="360" w:line="240" w:lineRule="auto"/>
        <w:ind w:left="567" w:hanging="567"/>
        <w:contextualSpacing/>
        <w:rPr>
          <w:rFonts w:ascii="Arial" w:eastAsia="Times New Roman" w:hAnsi="Arial" w:cs="Arial"/>
          <w:lang w:eastAsia="en-GB"/>
        </w:rPr>
      </w:pPr>
      <w:r w:rsidRPr="002119A4">
        <w:rPr>
          <w:rFonts w:ascii="Arial" w:eastAsia="Times New Roman" w:hAnsi="Arial" w:cs="Times New Roman"/>
          <w:lang w:eastAsia="en-GB"/>
        </w:rPr>
        <w:t>Respondents</w:t>
      </w:r>
      <w:r w:rsidRPr="00EE4620">
        <w:rPr>
          <w:rFonts w:ascii="Arial" w:eastAsia="Times New Roman" w:hAnsi="Arial" w:cs="Arial"/>
          <w:lang w:eastAsia="en-GB"/>
        </w:rPr>
        <w:t xml:space="preserve"> in the </w:t>
      </w:r>
      <w:r w:rsidRPr="00EE4620">
        <w:rPr>
          <w:rFonts w:ascii="Arial" w:eastAsia="Times New Roman" w:hAnsi="Arial" w:cs="Arial"/>
          <w:b/>
          <w:lang w:eastAsia="en-GB"/>
        </w:rPr>
        <w:t>South West</w:t>
      </w:r>
      <w:r w:rsidRPr="00EE4620">
        <w:rPr>
          <w:rFonts w:ascii="Arial" w:eastAsia="Times New Roman" w:hAnsi="Arial" w:cs="Arial"/>
          <w:lang w:eastAsia="en-GB"/>
        </w:rPr>
        <w:t xml:space="preserve"> are particularly likely to speak positively </w:t>
      </w:r>
      <w:r w:rsidRPr="00EE4620">
        <w:rPr>
          <w:rFonts w:ascii="Arial" w:eastAsia="Times New Roman" w:hAnsi="Arial" w:cs="Arial"/>
          <w:lang w:eastAsia="en-GB"/>
        </w:rPr>
        <w:tab/>
        <w:t>about the LGA (</w:t>
      </w:r>
      <w:r w:rsidRPr="00EE4620">
        <w:rPr>
          <w:rFonts w:ascii="Arial" w:eastAsia="Times New Roman" w:hAnsi="Arial" w:cs="Arial"/>
          <w:b/>
          <w:lang w:eastAsia="en-GB"/>
        </w:rPr>
        <w:t>84 per cent</w:t>
      </w:r>
      <w:r w:rsidRPr="00EE4620">
        <w:rPr>
          <w:rFonts w:ascii="Arial" w:eastAsia="Times New Roman" w:hAnsi="Arial" w:cs="Arial"/>
          <w:lang w:eastAsia="en-GB"/>
        </w:rPr>
        <w:t xml:space="preserve">), while those in the </w:t>
      </w:r>
      <w:r w:rsidRPr="00EE4620">
        <w:rPr>
          <w:rFonts w:ascii="Arial" w:eastAsia="Times New Roman" w:hAnsi="Arial" w:cs="Arial"/>
          <w:b/>
          <w:lang w:eastAsia="en-GB"/>
        </w:rPr>
        <w:t>North West</w:t>
      </w:r>
      <w:r w:rsidRPr="00EE4620">
        <w:rPr>
          <w:rFonts w:ascii="Arial" w:eastAsia="Times New Roman" w:hAnsi="Arial" w:cs="Arial"/>
          <w:lang w:eastAsia="en-GB"/>
        </w:rPr>
        <w:t xml:space="preserve"> are more likely to have spoken negatively about the LGA (</w:t>
      </w:r>
      <w:r w:rsidRPr="00EE4620">
        <w:rPr>
          <w:rFonts w:ascii="Arial" w:eastAsia="Times New Roman" w:hAnsi="Arial" w:cs="Arial"/>
          <w:b/>
          <w:lang w:eastAsia="en-GB"/>
        </w:rPr>
        <w:t>8 per cent</w:t>
      </w:r>
      <w:r w:rsidRPr="00EE4620">
        <w:rPr>
          <w:rFonts w:ascii="Arial" w:eastAsia="Times New Roman" w:hAnsi="Arial" w:cs="Arial"/>
          <w:lang w:eastAsia="en-GB"/>
        </w:rPr>
        <w:t>).</w:t>
      </w:r>
    </w:p>
    <w:p w14:paraId="18907A9D" w14:textId="77777777" w:rsidR="00EE4620" w:rsidRPr="00EE4620" w:rsidRDefault="00EE4620" w:rsidP="00EE4620">
      <w:pPr>
        <w:tabs>
          <w:tab w:val="left" w:pos="1365"/>
        </w:tabs>
        <w:spacing w:after="0" w:line="240" w:lineRule="auto"/>
        <w:rPr>
          <w:rFonts w:ascii="Arial" w:eastAsia="Times New Roman" w:hAnsi="Arial" w:cs="Arial"/>
          <w:sz w:val="24"/>
          <w:szCs w:val="24"/>
          <w:lang w:eastAsia="en-GB"/>
        </w:rPr>
      </w:pPr>
      <w:r w:rsidRPr="00EE4620">
        <w:rPr>
          <w:rFonts w:ascii="Arial" w:eastAsia="Times New Roman" w:hAnsi="Arial" w:cs="Arial"/>
          <w:lang w:eastAsia="en-GB"/>
        </w:rPr>
        <w:tab/>
      </w:r>
    </w:p>
    <w:p w14:paraId="18907A9E" w14:textId="77777777" w:rsidR="00EE4620" w:rsidRPr="00EE4620" w:rsidRDefault="00EE4620" w:rsidP="00EE4620">
      <w:pPr>
        <w:spacing w:after="0" w:line="240" w:lineRule="auto"/>
        <w:rPr>
          <w:rFonts w:ascii="Arial" w:eastAsia="Times New Roman" w:hAnsi="Arial" w:cs="Arial"/>
          <w:b/>
          <w:lang w:eastAsia="en-GB"/>
        </w:rPr>
      </w:pPr>
    </w:p>
    <w:p w14:paraId="18907A9F" w14:textId="77777777" w:rsidR="00EE4620" w:rsidRPr="00EE4620" w:rsidRDefault="00EE4620" w:rsidP="00EE4620">
      <w:pPr>
        <w:spacing w:after="0" w:line="240" w:lineRule="auto"/>
        <w:rPr>
          <w:rFonts w:ascii="Arial" w:eastAsia="Times New Roman" w:hAnsi="Arial" w:cs="Arial"/>
          <w:b/>
          <w:lang w:eastAsia="en-GB"/>
        </w:rPr>
      </w:pPr>
    </w:p>
    <w:p w14:paraId="18907AA0" w14:textId="77777777" w:rsidR="00EE4620" w:rsidRPr="00EE4620" w:rsidRDefault="00EE4620" w:rsidP="00EE4620">
      <w:pPr>
        <w:spacing w:after="0" w:line="240" w:lineRule="auto"/>
        <w:rPr>
          <w:rFonts w:ascii="Arial" w:eastAsia="Times New Roman" w:hAnsi="Arial" w:cs="Arial"/>
          <w:b/>
          <w:lang w:eastAsia="en-GB"/>
        </w:rPr>
      </w:pPr>
    </w:p>
    <w:p w14:paraId="18907AA1" w14:textId="77777777" w:rsidR="00EE4620" w:rsidRPr="00EE4620" w:rsidRDefault="00EE4620" w:rsidP="00EE4620">
      <w:pPr>
        <w:spacing w:after="0" w:line="240" w:lineRule="auto"/>
        <w:rPr>
          <w:rFonts w:ascii="Arial" w:eastAsia="Times New Roman" w:hAnsi="Arial" w:cs="Arial"/>
          <w:b/>
          <w:lang w:eastAsia="en-GB"/>
        </w:rPr>
      </w:pPr>
    </w:p>
    <w:p w14:paraId="18907AA2" w14:textId="77777777" w:rsidR="00EE4620" w:rsidRPr="00EE4620" w:rsidRDefault="00EE4620" w:rsidP="00EE4620">
      <w:pPr>
        <w:spacing w:after="0" w:line="240" w:lineRule="auto"/>
        <w:rPr>
          <w:rFonts w:ascii="Arial" w:eastAsia="Times New Roman" w:hAnsi="Arial" w:cs="Arial"/>
          <w:b/>
          <w:lang w:eastAsia="en-GB"/>
        </w:rPr>
      </w:pPr>
    </w:p>
    <w:p w14:paraId="18907AA3" w14:textId="77777777" w:rsidR="00EE4620" w:rsidRPr="00EE4620" w:rsidRDefault="00EE4620" w:rsidP="00EE4620">
      <w:pPr>
        <w:spacing w:after="0" w:line="240" w:lineRule="auto"/>
        <w:rPr>
          <w:rFonts w:ascii="Arial" w:eastAsia="Times New Roman" w:hAnsi="Arial" w:cs="Arial"/>
          <w:b/>
          <w:lang w:eastAsia="en-GB"/>
        </w:rPr>
      </w:pPr>
    </w:p>
    <w:p w14:paraId="18907AA4" w14:textId="77777777" w:rsidR="00EE4620" w:rsidRPr="00EE4620" w:rsidRDefault="00EE4620" w:rsidP="00EE4620">
      <w:pPr>
        <w:spacing w:after="0" w:line="240" w:lineRule="auto"/>
        <w:rPr>
          <w:rFonts w:ascii="Arial" w:eastAsia="Times New Roman" w:hAnsi="Arial" w:cs="Arial"/>
          <w:b/>
          <w:lang w:eastAsia="en-GB"/>
        </w:rPr>
      </w:pPr>
    </w:p>
    <w:p w14:paraId="18907AA5" w14:textId="77777777" w:rsidR="00EE4620" w:rsidRPr="00EE4620" w:rsidRDefault="00EE4620" w:rsidP="00EE4620">
      <w:pPr>
        <w:spacing w:after="0" w:line="240" w:lineRule="auto"/>
        <w:rPr>
          <w:rFonts w:ascii="Arial" w:eastAsia="Times New Roman" w:hAnsi="Arial" w:cs="Arial"/>
          <w:b/>
          <w:lang w:eastAsia="en-GB"/>
        </w:rPr>
      </w:pPr>
    </w:p>
    <w:p w14:paraId="18907AA6" w14:textId="77777777" w:rsidR="00EE4620" w:rsidRPr="00EE4620" w:rsidRDefault="00EE4620" w:rsidP="00EE4620">
      <w:pPr>
        <w:spacing w:after="0" w:line="240" w:lineRule="auto"/>
        <w:rPr>
          <w:rFonts w:ascii="Arial" w:eastAsia="Times New Roman" w:hAnsi="Arial" w:cs="Arial"/>
          <w:b/>
          <w:lang w:eastAsia="en-GB"/>
        </w:rPr>
      </w:pPr>
    </w:p>
    <w:p w14:paraId="18907AA7" w14:textId="77777777" w:rsidR="00EE4620" w:rsidRPr="00EE4620" w:rsidRDefault="00EE4620" w:rsidP="00EE4620">
      <w:pPr>
        <w:spacing w:after="0" w:line="240" w:lineRule="auto"/>
        <w:rPr>
          <w:rFonts w:ascii="Arial" w:eastAsia="Times New Roman" w:hAnsi="Arial" w:cs="Arial"/>
          <w:b/>
          <w:lang w:eastAsia="en-GB"/>
        </w:rPr>
      </w:pPr>
    </w:p>
    <w:p w14:paraId="18907AA8" w14:textId="77777777" w:rsidR="00EE4620" w:rsidRPr="00EE4620" w:rsidRDefault="00EE4620" w:rsidP="00EE4620">
      <w:pPr>
        <w:spacing w:after="0" w:line="240" w:lineRule="auto"/>
        <w:rPr>
          <w:rFonts w:ascii="Arial" w:eastAsia="Times New Roman" w:hAnsi="Arial" w:cs="Arial"/>
          <w:b/>
          <w:lang w:eastAsia="en-GB"/>
        </w:rPr>
      </w:pPr>
    </w:p>
    <w:p w14:paraId="18907AA9" w14:textId="77777777" w:rsidR="00EE4620" w:rsidRPr="00EE4620" w:rsidRDefault="00EE4620" w:rsidP="00EE4620">
      <w:pPr>
        <w:spacing w:after="0" w:line="240" w:lineRule="auto"/>
        <w:rPr>
          <w:rFonts w:ascii="Arial" w:eastAsia="Times New Roman" w:hAnsi="Arial" w:cs="Arial"/>
          <w:b/>
          <w:lang w:eastAsia="en-GB"/>
        </w:rPr>
      </w:pPr>
    </w:p>
    <w:p w14:paraId="18907AAA" w14:textId="77777777" w:rsidR="00EE4620" w:rsidRPr="00EE4620" w:rsidRDefault="00EE4620" w:rsidP="00EE4620">
      <w:pPr>
        <w:spacing w:after="0" w:line="240" w:lineRule="auto"/>
        <w:rPr>
          <w:rFonts w:ascii="Arial" w:eastAsia="Times New Roman" w:hAnsi="Arial" w:cs="Arial"/>
          <w:b/>
          <w:lang w:eastAsia="en-GB"/>
        </w:rPr>
      </w:pPr>
    </w:p>
    <w:p w14:paraId="18907AAB" w14:textId="77777777" w:rsidR="00EE4620" w:rsidRPr="00EE4620" w:rsidRDefault="00EE4620" w:rsidP="00EE4620">
      <w:pPr>
        <w:spacing w:after="0" w:line="240" w:lineRule="auto"/>
        <w:rPr>
          <w:rFonts w:ascii="Arial" w:eastAsia="Times New Roman" w:hAnsi="Arial" w:cs="Arial"/>
          <w:b/>
          <w:lang w:eastAsia="en-GB"/>
        </w:rPr>
      </w:pPr>
    </w:p>
    <w:p w14:paraId="18907AAC" w14:textId="77777777" w:rsidR="00EE4620" w:rsidRPr="00EE4620" w:rsidRDefault="00EE4620" w:rsidP="00EE4620">
      <w:pPr>
        <w:spacing w:after="0" w:line="240" w:lineRule="auto"/>
        <w:rPr>
          <w:rFonts w:ascii="Arial" w:eastAsia="Times New Roman" w:hAnsi="Arial" w:cs="Arial"/>
          <w:b/>
          <w:lang w:eastAsia="en-GB"/>
        </w:rPr>
      </w:pPr>
    </w:p>
    <w:p w14:paraId="18907AAD" w14:textId="77777777" w:rsidR="00EE4620" w:rsidRPr="00EE4620" w:rsidRDefault="00EE4620" w:rsidP="00EE4620">
      <w:pPr>
        <w:spacing w:after="0" w:line="240" w:lineRule="auto"/>
        <w:rPr>
          <w:rFonts w:ascii="Arial" w:eastAsia="Times New Roman" w:hAnsi="Arial" w:cs="Arial"/>
          <w:b/>
          <w:lang w:eastAsia="en-GB"/>
        </w:rPr>
      </w:pPr>
      <w:r w:rsidRPr="00EE4620">
        <w:rPr>
          <w:rFonts w:ascii="Arial" w:eastAsia="Times New Roman" w:hAnsi="Arial" w:cs="Arial"/>
          <w:b/>
          <w:lang w:eastAsia="en-GB"/>
        </w:rPr>
        <w:lastRenderedPageBreak/>
        <w:t>Table 4 – Which of these phrases best describes the way you would speak of the LGA to other people? (*denotes less than 0.5%)</w:t>
      </w:r>
    </w:p>
    <w:p w14:paraId="18907AAE" w14:textId="77777777" w:rsidR="00EE4620" w:rsidRPr="00EE4620" w:rsidRDefault="00EE4620" w:rsidP="00EE4620">
      <w:pPr>
        <w:spacing w:after="0" w:line="240" w:lineRule="auto"/>
        <w:jc w:val="both"/>
        <w:rPr>
          <w:rFonts w:ascii="Arial" w:eastAsia="Times New Roman" w:hAnsi="Arial" w:cs="Arial"/>
          <w:sz w:val="24"/>
          <w:szCs w:val="24"/>
          <w:lang w:eastAsia="en-GB"/>
        </w:rPr>
      </w:pPr>
      <w:r w:rsidRPr="00EE4620">
        <w:rPr>
          <w:rFonts w:ascii="Arial" w:eastAsia="Times New Roman" w:hAnsi="Arial" w:cs="Times New Roman"/>
          <w:noProof/>
          <w:sz w:val="24"/>
          <w:szCs w:val="20"/>
          <w:lang w:eastAsia="en-GB"/>
        </w:rPr>
        <w:drawing>
          <wp:inline distT="0" distB="0" distL="0" distR="0" wp14:anchorId="18907CF4" wp14:editId="18907CF5">
            <wp:extent cx="5274310" cy="4600575"/>
            <wp:effectExtent l="0" t="0" r="2540" b="0"/>
            <wp:docPr id="3"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8907AAF" w14:textId="77777777" w:rsidR="00EE4620" w:rsidRPr="00EE4620" w:rsidRDefault="00EE4620" w:rsidP="00EE4620">
      <w:pPr>
        <w:spacing w:after="0" w:line="240" w:lineRule="auto"/>
        <w:rPr>
          <w:rFonts w:ascii="Arial" w:eastAsia="Times New Roman" w:hAnsi="Arial" w:cs="Times New Roman"/>
          <w:b/>
          <w:lang w:eastAsia="en-GB"/>
        </w:rPr>
      </w:pPr>
    </w:p>
    <w:p w14:paraId="18907AB0" w14:textId="77777777" w:rsidR="00EE4620" w:rsidRPr="00EE4620" w:rsidRDefault="00EE4620" w:rsidP="00EE4620">
      <w:pPr>
        <w:spacing w:after="0" w:line="240" w:lineRule="auto"/>
        <w:rPr>
          <w:rFonts w:ascii="Arial" w:eastAsia="Times New Roman" w:hAnsi="Arial" w:cs="Times New Roman"/>
          <w:b/>
          <w:lang w:eastAsia="en-GB"/>
        </w:rPr>
      </w:pPr>
      <w:r w:rsidRPr="00EE4620">
        <w:rPr>
          <w:rFonts w:ascii="Arial" w:eastAsia="Times New Roman" w:hAnsi="Arial" w:cs="Times New Roman"/>
          <w:b/>
          <w:lang w:eastAsia="en-GB"/>
        </w:rPr>
        <w:t>Satisfaction with the work of the LGA on behalf of local government</w:t>
      </w:r>
    </w:p>
    <w:p w14:paraId="18907AB1" w14:textId="77777777" w:rsidR="00EE4620" w:rsidRPr="00EE4620" w:rsidRDefault="00EE4620" w:rsidP="00EE4620">
      <w:pPr>
        <w:spacing w:after="0" w:line="240" w:lineRule="auto"/>
        <w:rPr>
          <w:rFonts w:ascii="Arial" w:eastAsia="Times New Roman" w:hAnsi="Arial" w:cs="Times New Roman"/>
          <w:b/>
          <w:lang w:eastAsia="en-GB"/>
        </w:rPr>
      </w:pPr>
    </w:p>
    <w:p w14:paraId="18907AB2" w14:textId="1AEA7B8B" w:rsidR="00EE4620" w:rsidRPr="00EE4620" w:rsidRDefault="00EE4620" w:rsidP="00DD3B11">
      <w:pPr>
        <w:numPr>
          <w:ilvl w:val="0"/>
          <w:numId w:val="3"/>
        </w:numPr>
        <w:spacing w:before="120" w:after="360" w:line="240" w:lineRule="auto"/>
        <w:ind w:left="567" w:hanging="567"/>
        <w:contextualSpacing/>
        <w:rPr>
          <w:rFonts w:ascii="Arial" w:eastAsia="Times New Roman" w:hAnsi="Arial" w:cs="Times New Roman"/>
          <w:lang w:eastAsia="en-GB"/>
        </w:rPr>
      </w:pPr>
      <w:r w:rsidRPr="00EE4620">
        <w:rPr>
          <w:rFonts w:ascii="Arial" w:eastAsia="Times New Roman" w:hAnsi="Arial" w:cs="Times New Roman"/>
          <w:b/>
          <w:lang w:eastAsia="en-GB"/>
        </w:rPr>
        <w:t>Seventy per cent</w:t>
      </w:r>
      <w:r w:rsidRPr="00EE4620">
        <w:rPr>
          <w:rFonts w:ascii="Arial" w:eastAsia="Times New Roman" w:hAnsi="Arial" w:cs="Times New Roman"/>
          <w:lang w:eastAsia="en-GB"/>
        </w:rPr>
        <w:t xml:space="preserve"> are either ‘fairly’ or ‘very satisfied’ with our work on behalf of local government.   This represents a significant increase on 2012 (62 per cent).  Only 2 per cent of respondents report being ‘very dissatisfied’ with the work of the LGA. </w:t>
      </w:r>
    </w:p>
    <w:p w14:paraId="18907AB3" w14:textId="77777777" w:rsidR="00EE4620" w:rsidRPr="00EE4620" w:rsidRDefault="00EE4620" w:rsidP="00EE4620">
      <w:pPr>
        <w:spacing w:after="0" w:line="240" w:lineRule="auto"/>
        <w:rPr>
          <w:rFonts w:ascii="Arial" w:eastAsia="Times New Roman" w:hAnsi="Arial" w:cs="Times New Roman"/>
          <w:lang w:eastAsia="en-GB"/>
        </w:rPr>
      </w:pPr>
    </w:p>
    <w:p w14:paraId="18907AB4" w14:textId="4E5FD0AF" w:rsidR="00EE4620" w:rsidRPr="00EE4620" w:rsidRDefault="00EE4620" w:rsidP="00DD3B11">
      <w:pPr>
        <w:numPr>
          <w:ilvl w:val="0"/>
          <w:numId w:val="3"/>
        </w:numPr>
        <w:spacing w:before="120" w:after="360" w:line="240" w:lineRule="auto"/>
        <w:ind w:left="567" w:hanging="567"/>
        <w:contextualSpacing/>
        <w:rPr>
          <w:rFonts w:ascii="Arial" w:eastAsia="Times New Roman" w:hAnsi="Arial" w:cs="Times New Roman"/>
          <w:szCs w:val="20"/>
          <w:lang w:eastAsia="en-GB"/>
        </w:rPr>
      </w:pPr>
      <w:r w:rsidRPr="00EE4620">
        <w:rPr>
          <w:rFonts w:ascii="Arial" w:eastAsia="Times New Roman" w:hAnsi="Arial" w:cs="Times New Roman"/>
          <w:lang w:eastAsia="en-GB"/>
        </w:rPr>
        <w:t xml:space="preserve">There has been a significant improvement in satisfaction amongst </w:t>
      </w:r>
      <w:r w:rsidRPr="00EE4620">
        <w:rPr>
          <w:rFonts w:ascii="Arial" w:eastAsia="Times New Roman" w:hAnsi="Arial" w:cs="Times New Roman"/>
          <w:b/>
          <w:lang w:eastAsia="en-GB"/>
        </w:rPr>
        <w:t>officers</w:t>
      </w:r>
      <w:r w:rsidRPr="00EE4620">
        <w:rPr>
          <w:rFonts w:ascii="Arial" w:eastAsia="Times New Roman" w:hAnsi="Arial" w:cs="Times New Roman"/>
          <w:lang w:eastAsia="en-GB"/>
        </w:rPr>
        <w:t xml:space="preserve"> within the last 12 months (</w:t>
      </w:r>
      <w:r w:rsidRPr="00EE4620">
        <w:rPr>
          <w:rFonts w:ascii="Arial" w:eastAsia="Times New Roman" w:hAnsi="Arial" w:cs="Times New Roman"/>
          <w:b/>
          <w:lang w:eastAsia="en-GB"/>
        </w:rPr>
        <w:t>75 per cent</w:t>
      </w:r>
      <w:r w:rsidRPr="00EE4620">
        <w:rPr>
          <w:rFonts w:ascii="Arial" w:eastAsia="Times New Roman" w:hAnsi="Arial" w:cs="Times New Roman"/>
          <w:lang w:eastAsia="en-GB"/>
        </w:rPr>
        <w:t xml:space="preserve"> compared to 62 per cent in 2012 ‘fairly/very satisfied’) while the figures only suggest a slight increase amongst </w:t>
      </w:r>
      <w:r w:rsidRPr="00EE4620">
        <w:rPr>
          <w:rFonts w:ascii="Arial" w:eastAsia="Times New Roman" w:hAnsi="Arial" w:cs="Times New Roman"/>
          <w:b/>
          <w:lang w:eastAsia="en-GB"/>
        </w:rPr>
        <w:t>frontbench councillors</w:t>
      </w:r>
      <w:r w:rsidRPr="00EE4620">
        <w:rPr>
          <w:rFonts w:ascii="Arial" w:eastAsia="Times New Roman" w:hAnsi="Arial" w:cs="Times New Roman"/>
          <w:lang w:eastAsia="en-GB"/>
        </w:rPr>
        <w:t xml:space="preserve"> (from </w:t>
      </w:r>
      <w:r w:rsidRPr="00EE4620">
        <w:rPr>
          <w:rFonts w:ascii="Arial" w:eastAsia="Times New Roman" w:hAnsi="Arial" w:cs="Times New Roman"/>
          <w:b/>
          <w:lang w:eastAsia="en-GB"/>
        </w:rPr>
        <w:t>66 per cen</w:t>
      </w:r>
      <w:r w:rsidRPr="00EE4620">
        <w:rPr>
          <w:rFonts w:ascii="Arial" w:eastAsia="Times New Roman" w:hAnsi="Arial" w:cs="Times New Roman"/>
          <w:lang w:eastAsia="en-GB"/>
        </w:rPr>
        <w:t>t in 2012 to 69 per cent in 2013).</w:t>
      </w:r>
    </w:p>
    <w:p w14:paraId="18907AB5" w14:textId="77777777" w:rsidR="00EE4620" w:rsidRPr="00EE4620" w:rsidRDefault="00EE4620" w:rsidP="00EE4620">
      <w:pPr>
        <w:spacing w:after="0" w:line="240" w:lineRule="auto"/>
        <w:rPr>
          <w:rFonts w:ascii="Arial" w:eastAsia="Times New Roman" w:hAnsi="Arial" w:cs="Times New Roman"/>
          <w:szCs w:val="20"/>
          <w:lang w:eastAsia="en-GB"/>
        </w:rPr>
      </w:pPr>
    </w:p>
    <w:p w14:paraId="18907AB6" w14:textId="0285B9C7" w:rsidR="00EE4620" w:rsidRPr="00EE4620" w:rsidRDefault="00EE4620" w:rsidP="00DD3B11">
      <w:pPr>
        <w:numPr>
          <w:ilvl w:val="0"/>
          <w:numId w:val="3"/>
        </w:numPr>
        <w:spacing w:before="120" w:after="360" w:line="240" w:lineRule="auto"/>
        <w:ind w:left="567" w:hanging="567"/>
        <w:contextualSpacing/>
        <w:rPr>
          <w:rFonts w:ascii="Arial" w:eastAsia="Times New Roman" w:hAnsi="Arial" w:cs="Arial"/>
          <w:szCs w:val="20"/>
          <w:lang w:eastAsia="en-GB"/>
        </w:rPr>
      </w:pPr>
      <w:r w:rsidRPr="00EE4620">
        <w:rPr>
          <w:rFonts w:ascii="Arial" w:eastAsia="Times New Roman" w:hAnsi="Arial" w:cs="Arial"/>
          <w:lang w:eastAsia="en-GB"/>
        </w:rPr>
        <w:t xml:space="preserve">Four-fifths of </w:t>
      </w:r>
      <w:r w:rsidRPr="00EE4620">
        <w:rPr>
          <w:rFonts w:ascii="Arial" w:eastAsia="Times New Roman" w:hAnsi="Arial" w:cs="Arial"/>
          <w:b/>
          <w:lang w:eastAsia="en-GB"/>
        </w:rPr>
        <w:t>leaders</w:t>
      </w:r>
      <w:r w:rsidRPr="00EE4620">
        <w:rPr>
          <w:rFonts w:ascii="Arial" w:eastAsia="Times New Roman" w:hAnsi="Arial" w:cs="Arial"/>
          <w:lang w:eastAsia="en-GB"/>
        </w:rPr>
        <w:t xml:space="preserve"> (</w:t>
      </w:r>
      <w:r w:rsidRPr="00EE4620">
        <w:rPr>
          <w:rFonts w:ascii="Arial" w:eastAsia="Times New Roman" w:hAnsi="Arial" w:cs="Arial"/>
          <w:b/>
          <w:lang w:eastAsia="en-GB"/>
        </w:rPr>
        <w:t>79 per cent</w:t>
      </w:r>
      <w:r w:rsidRPr="00EE4620">
        <w:rPr>
          <w:rFonts w:ascii="Arial" w:eastAsia="Times New Roman" w:hAnsi="Arial" w:cs="Arial"/>
          <w:lang w:eastAsia="en-GB"/>
        </w:rPr>
        <w:t xml:space="preserve">) and </w:t>
      </w:r>
      <w:r w:rsidRPr="00EE4620">
        <w:rPr>
          <w:rFonts w:ascii="Arial" w:eastAsia="Times New Roman" w:hAnsi="Arial" w:cs="Arial"/>
          <w:b/>
          <w:lang w:eastAsia="en-GB"/>
        </w:rPr>
        <w:t>chief executives</w:t>
      </w:r>
      <w:r w:rsidRPr="00EE4620">
        <w:rPr>
          <w:rFonts w:ascii="Arial" w:eastAsia="Times New Roman" w:hAnsi="Arial" w:cs="Arial"/>
          <w:lang w:eastAsia="en-GB"/>
        </w:rPr>
        <w:t xml:space="preserve"> (</w:t>
      </w:r>
      <w:r w:rsidRPr="00EE4620">
        <w:rPr>
          <w:rFonts w:ascii="Arial" w:eastAsia="Times New Roman" w:hAnsi="Arial" w:cs="Arial"/>
          <w:b/>
          <w:lang w:eastAsia="en-GB"/>
        </w:rPr>
        <w:t>80 per cent</w:t>
      </w:r>
      <w:r w:rsidRPr="00EE4620">
        <w:rPr>
          <w:rFonts w:ascii="Arial" w:eastAsia="Times New Roman" w:hAnsi="Arial" w:cs="Arial"/>
          <w:lang w:eastAsia="en-GB"/>
        </w:rPr>
        <w:t xml:space="preserve">) are satisfied with the work of the LGA on behalf of local government.  This contrasts with </w:t>
      </w:r>
      <w:r w:rsidRPr="00EE4620">
        <w:rPr>
          <w:rFonts w:ascii="Arial" w:eastAsia="Times New Roman" w:hAnsi="Arial" w:cs="Arial"/>
          <w:b/>
          <w:lang w:eastAsia="en-GB"/>
        </w:rPr>
        <w:t xml:space="preserve">67 per cent </w:t>
      </w:r>
      <w:r w:rsidRPr="00EE4620">
        <w:rPr>
          <w:rFonts w:ascii="Arial" w:eastAsia="Times New Roman" w:hAnsi="Arial" w:cs="Arial"/>
          <w:lang w:eastAsia="en-GB"/>
        </w:rPr>
        <w:t xml:space="preserve">of </w:t>
      </w:r>
      <w:r w:rsidRPr="00EE4620">
        <w:rPr>
          <w:rFonts w:ascii="Arial" w:eastAsia="Times New Roman" w:hAnsi="Arial" w:cs="Arial"/>
          <w:b/>
          <w:lang w:eastAsia="en-GB"/>
        </w:rPr>
        <w:t>chairs of scrutiny</w:t>
      </w:r>
      <w:r w:rsidRPr="00EE4620">
        <w:rPr>
          <w:rFonts w:ascii="Arial" w:eastAsia="Times New Roman" w:hAnsi="Arial" w:cs="Arial"/>
          <w:lang w:eastAsia="en-GB"/>
        </w:rPr>
        <w:t xml:space="preserve"> and 63 per cent of </w:t>
      </w:r>
      <w:r w:rsidRPr="00EE4620">
        <w:rPr>
          <w:rFonts w:ascii="Arial" w:eastAsia="Times New Roman" w:hAnsi="Arial" w:cs="Arial"/>
          <w:b/>
          <w:lang w:eastAsia="en-GB"/>
        </w:rPr>
        <w:t>portfolio holders</w:t>
      </w:r>
      <w:r w:rsidRPr="00EE4620">
        <w:rPr>
          <w:rFonts w:ascii="Arial" w:eastAsia="Times New Roman" w:hAnsi="Arial" w:cs="Arial"/>
          <w:lang w:eastAsia="en-GB"/>
        </w:rPr>
        <w:t>.</w:t>
      </w:r>
    </w:p>
    <w:p w14:paraId="18907AB7" w14:textId="77777777" w:rsidR="00EE4620" w:rsidRPr="00EE4620" w:rsidRDefault="00EE4620" w:rsidP="00EE4620">
      <w:pPr>
        <w:spacing w:after="0" w:line="240" w:lineRule="auto"/>
        <w:rPr>
          <w:rFonts w:ascii="Arial" w:eastAsia="Times New Roman" w:hAnsi="Arial" w:cs="Arial"/>
          <w:lang w:eastAsia="en-GB"/>
        </w:rPr>
      </w:pPr>
    </w:p>
    <w:p w14:paraId="18907AB8" w14:textId="27464A7F" w:rsidR="00EE4620" w:rsidRPr="00EE4620" w:rsidRDefault="00EE4620" w:rsidP="00DD3B11">
      <w:pPr>
        <w:numPr>
          <w:ilvl w:val="0"/>
          <w:numId w:val="3"/>
        </w:numPr>
        <w:spacing w:before="120" w:after="360" w:line="240" w:lineRule="auto"/>
        <w:ind w:left="567" w:hanging="567"/>
        <w:contextualSpacing/>
        <w:rPr>
          <w:rFonts w:ascii="Arial" w:eastAsia="Times New Roman" w:hAnsi="Arial" w:cs="Arial"/>
          <w:lang w:eastAsia="en-GB"/>
        </w:rPr>
      </w:pPr>
      <w:r w:rsidRPr="00EE4620">
        <w:rPr>
          <w:rFonts w:ascii="Arial" w:eastAsia="Times New Roman" w:hAnsi="Arial" w:cs="Arial"/>
          <w:lang w:eastAsia="en-GB"/>
        </w:rPr>
        <w:t xml:space="preserve">Satisfaction is highest within the </w:t>
      </w:r>
      <w:r w:rsidRPr="00EE4620">
        <w:rPr>
          <w:rFonts w:ascii="Arial" w:eastAsia="Times New Roman" w:hAnsi="Arial" w:cs="Arial"/>
          <w:b/>
          <w:lang w:eastAsia="en-GB"/>
        </w:rPr>
        <w:t>East</w:t>
      </w:r>
      <w:r w:rsidRPr="00EE4620">
        <w:rPr>
          <w:rFonts w:ascii="Arial" w:eastAsia="Times New Roman" w:hAnsi="Arial" w:cs="Arial"/>
          <w:lang w:eastAsia="en-GB"/>
        </w:rPr>
        <w:t xml:space="preserve"> (</w:t>
      </w:r>
      <w:r w:rsidRPr="00EE4620">
        <w:rPr>
          <w:rFonts w:ascii="Arial" w:eastAsia="Times New Roman" w:hAnsi="Arial" w:cs="Arial"/>
          <w:b/>
          <w:lang w:eastAsia="en-GB"/>
        </w:rPr>
        <w:t>76 per cent</w:t>
      </w:r>
      <w:r w:rsidRPr="00EE4620">
        <w:rPr>
          <w:rFonts w:ascii="Arial" w:eastAsia="Times New Roman" w:hAnsi="Arial" w:cs="Arial"/>
          <w:lang w:eastAsia="en-GB"/>
        </w:rPr>
        <w:t xml:space="preserve">) and the </w:t>
      </w:r>
      <w:r w:rsidRPr="00EE4620">
        <w:rPr>
          <w:rFonts w:ascii="Arial" w:eastAsia="Times New Roman" w:hAnsi="Arial" w:cs="Arial"/>
          <w:b/>
          <w:lang w:eastAsia="en-GB"/>
        </w:rPr>
        <w:t>South West</w:t>
      </w:r>
      <w:r w:rsidRPr="00EE4620">
        <w:rPr>
          <w:rFonts w:ascii="Arial" w:eastAsia="Times New Roman" w:hAnsi="Arial" w:cs="Arial"/>
          <w:lang w:eastAsia="en-GB"/>
        </w:rPr>
        <w:t xml:space="preserve"> (</w:t>
      </w:r>
      <w:r w:rsidRPr="00EE4620">
        <w:rPr>
          <w:rFonts w:ascii="Arial" w:eastAsia="Times New Roman" w:hAnsi="Arial" w:cs="Arial"/>
          <w:b/>
          <w:lang w:eastAsia="en-GB"/>
        </w:rPr>
        <w:t>76 per cent</w:t>
      </w:r>
      <w:r w:rsidRPr="00EE4620">
        <w:rPr>
          <w:rFonts w:ascii="Arial" w:eastAsia="Times New Roman" w:hAnsi="Arial" w:cs="Arial"/>
          <w:lang w:eastAsia="en-GB"/>
        </w:rPr>
        <w:t xml:space="preserve">) and lowest in the </w:t>
      </w:r>
      <w:r w:rsidRPr="00EE4620">
        <w:rPr>
          <w:rFonts w:ascii="Arial" w:eastAsia="Times New Roman" w:hAnsi="Arial" w:cs="Arial"/>
          <w:b/>
          <w:lang w:eastAsia="en-GB"/>
        </w:rPr>
        <w:t>North East</w:t>
      </w:r>
      <w:r w:rsidRPr="00EE4620">
        <w:rPr>
          <w:rFonts w:ascii="Arial" w:eastAsia="Times New Roman" w:hAnsi="Arial" w:cs="Arial"/>
          <w:lang w:eastAsia="en-GB"/>
        </w:rPr>
        <w:t xml:space="preserve"> (</w:t>
      </w:r>
      <w:r w:rsidRPr="00EE4620">
        <w:rPr>
          <w:rFonts w:ascii="Arial" w:eastAsia="Times New Roman" w:hAnsi="Arial" w:cs="Arial"/>
          <w:b/>
          <w:lang w:eastAsia="en-GB"/>
        </w:rPr>
        <w:t>59 per cent</w:t>
      </w:r>
      <w:r w:rsidRPr="00EE4620">
        <w:rPr>
          <w:rFonts w:ascii="Arial" w:eastAsia="Times New Roman" w:hAnsi="Arial" w:cs="Arial"/>
          <w:lang w:eastAsia="en-GB"/>
        </w:rPr>
        <w:t xml:space="preserve">), </w:t>
      </w:r>
      <w:r w:rsidRPr="00EE4620">
        <w:rPr>
          <w:rFonts w:ascii="Arial" w:eastAsia="Times New Roman" w:hAnsi="Arial" w:cs="Arial"/>
          <w:b/>
          <w:lang w:eastAsia="en-GB"/>
        </w:rPr>
        <w:t>South East</w:t>
      </w:r>
      <w:r w:rsidRPr="00EE4620">
        <w:rPr>
          <w:rFonts w:ascii="Arial" w:eastAsia="Times New Roman" w:hAnsi="Arial" w:cs="Arial"/>
          <w:lang w:eastAsia="en-GB"/>
        </w:rPr>
        <w:t xml:space="preserve"> (</w:t>
      </w:r>
      <w:r w:rsidRPr="00EE4620">
        <w:rPr>
          <w:rFonts w:ascii="Arial" w:eastAsia="Times New Roman" w:hAnsi="Arial" w:cs="Arial"/>
          <w:b/>
          <w:lang w:eastAsia="en-GB"/>
        </w:rPr>
        <w:t>62 per cent</w:t>
      </w:r>
      <w:r w:rsidRPr="00EE4620">
        <w:rPr>
          <w:rFonts w:ascii="Arial" w:eastAsia="Times New Roman" w:hAnsi="Arial" w:cs="Arial"/>
          <w:lang w:eastAsia="en-GB"/>
        </w:rPr>
        <w:t xml:space="preserve">) and </w:t>
      </w:r>
      <w:r w:rsidRPr="00EE4620">
        <w:rPr>
          <w:rFonts w:ascii="Arial" w:eastAsia="Times New Roman" w:hAnsi="Arial" w:cs="Arial"/>
          <w:b/>
          <w:lang w:eastAsia="en-GB"/>
        </w:rPr>
        <w:t>North West</w:t>
      </w:r>
      <w:r w:rsidRPr="00EE4620">
        <w:rPr>
          <w:rFonts w:ascii="Arial" w:eastAsia="Times New Roman" w:hAnsi="Arial" w:cs="Arial"/>
          <w:lang w:eastAsia="en-GB"/>
        </w:rPr>
        <w:t xml:space="preserve"> (</w:t>
      </w:r>
      <w:r w:rsidRPr="00EE4620">
        <w:rPr>
          <w:rFonts w:ascii="Arial" w:eastAsia="Times New Roman" w:hAnsi="Arial" w:cs="Arial"/>
          <w:b/>
          <w:lang w:eastAsia="en-GB"/>
        </w:rPr>
        <w:t>63 per cent</w:t>
      </w:r>
      <w:r w:rsidRPr="00EE4620">
        <w:rPr>
          <w:rFonts w:ascii="Arial" w:eastAsia="Times New Roman" w:hAnsi="Arial" w:cs="Arial"/>
          <w:lang w:eastAsia="en-GB"/>
        </w:rPr>
        <w:t>).</w:t>
      </w:r>
    </w:p>
    <w:p w14:paraId="18907AB9" w14:textId="77777777" w:rsidR="00EE4620" w:rsidRPr="00EE4620" w:rsidRDefault="00EE4620" w:rsidP="00EE4620">
      <w:pPr>
        <w:spacing w:after="0" w:line="240" w:lineRule="auto"/>
        <w:rPr>
          <w:rFonts w:ascii="Arial" w:eastAsia="Times New Roman" w:hAnsi="Arial" w:cs="Arial"/>
          <w:szCs w:val="20"/>
          <w:lang w:eastAsia="en-GB"/>
        </w:rPr>
      </w:pPr>
    </w:p>
    <w:p w14:paraId="18907ABA" w14:textId="77777777" w:rsidR="00EE4620" w:rsidRPr="00EE4620" w:rsidRDefault="00EE4620" w:rsidP="00EE4620">
      <w:pPr>
        <w:spacing w:after="0" w:line="240" w:lineRule="auto"/>
        <w:ind w:left="720" w:hanging="720"/>
        <w:rPr>
          <w:rFonts w:ascii="Arial" w:eastAsia="Times New Roman" w:hAnsi="Arial" w:cs="Arial"/>
          <w:b/>
          <w:lang w:eastAsia="en-GB"/>
        </w:rPr>
      </w:pPr>
    </w:p>
    <w:p w14:paraId="18907ABB" w14:textId="77777777" w:rsidR="00EE4620" w:rsidRPr="00EE4620" w:rsidRDefault="00EE4620" w:rsidP="00EE4620">
      <w:pPr>
        <w:spacing w:after="0" w:line="240" w:lineRule="auto"/>
        <w:ind w:left="720" w:hanging="720"/>
        <w:rPr>
          <w:rFonts w:ascii="Arial" w:eastAsia="Times New Roman" w:hAnsi="Arial" w:cs="Arial"/>
          <w:b/>
          <w:lang w:eastAsia="en-GB"/>
        </w:rPr>
      </w:pPr>
      <w:r w:rsidRPr="00EE4620">
        <w:rPr>
          <w:rFonts w:ascii="Arial" w:eastAsia="Times New Roman" w:hAnsi="Arial" w:cs="Arial"/>
          <w:b/>
          <w:lang w:eastAsia="en-GB"/>
        </w:rPr>
        <w:lastRenderedPageBreak/>
        <w:t xml:space="preserve">Table 5 - Overall, how satisfied or dissatisfied are you with the work of </w:t>
      </w:r>
    </w:p>
    <w:p w14:paraId="18907ABC" w14:textId="77777777" w:rsidR="00EE4620" w:rsidRPr="00EE4620" w:rsidRDefault="00EE4620" w:rsidP="00EE4620">
      <w:pPr>
        <w:spacing w:after="0" w:line="240" w:lineRule="auto"/>
        <w:rPr>
          <w:rFonts w:ascii="Arial" w:eastAsia="Times New Roman" w:hAnsi="Arial" w:cs="Arial"/>
          <w:b/>
          <w:lang w:eastAsia="en-GB"/>
        </w:rPr>
      </w:pPr>
      <w:r w:rsidRPr="00EE4620">
        <w:rPr>
          <w:rFonts w:ascii="Arial" w:eastAsia="Times New Roman" w:hAnsi="Arial" w:cs="Times New Roman"/>
          <w:noProof/>
          <w:sz w:val="24"/>
          <w:szCs w:val="20"/>
          <w:lang w:eastAsia="en-GB"/>
        </w:rPr>
        <w:drawing>
          <wp:anchor distT="0" distB="0" distL="114300" distR="114300" simplePos="0" relativeHeight="251659264" behindDoc="0" locked="0" layoutInCell="1" allowOverlap="1" wp14:anchorId="18907CF6" wp14:editId="18907CF7">
            <wp:simplePos x="0" y="0"/>
            <wp:positionH relativeFrom="column">
              <wp:posOffset>1905</wp:posOffset>
            </wp:positionH>
            <wp:positionV relativeFrom="paragraph">
              <wp:posOffset>258445</wp:posOffset>
            </wp:positionV>
            <wp:extent cx="5276850" cy="4124325"/>
            <wp:effectExtent l="0" t="0" r="0" b="0"/>
            <wp:wrapSquare wrapText="bothSides"/>
            <wp:docPr id="4"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roofErr w:type="gramStart"/>
      <w:r w:rsidRPr="00EE4620">
        <w:rPr>
          <w:rFonts w:ascii="Arial" w:eastAsia="Times New Roman" w:hAnsi="Arial" w:cs="Arial"/>
          <w:b/>
          <w:lang w:eastAsia="en-GB"/>
        </w:rPr>
        <w:t>the</w:t>
      </w:r>
      <w:proofErr w:type="gramEnd"/>
      <w:r w:rsidRPr="00EE4620">
        <w:rPr>
          <w:rFonts w:ascii="Arial" w:eastAsia="Times New Roman" w:hAnsi="Arial" w:cs="Arial"/>
          <w:b/>
          <w:lang w:eastAsia="en-GB"/>
        </w:rPr>
        <w:t xml:space="preserve"> LGA on behalf of the local government sector? (*denotes less than 0.5%)</w:t>
      </w:r>
    </w:p>
    <w:p w14:paraId="18907ABD" w14:textId="77777777" w:rsidR="00EE4620" w:rsidRPr="00EE4620" w:rsidRDefault="00EE4620" w:rsidP="00EE4620">
      <w:pPr>
        <w:spacing w:after="0" w:line="240" w:lineRule="auto"/>
        <w:rPr>
          <w:rFonts w:ascii="Arial" w:eastAsia="Times New Roman" w:hAnsi="Arial" w:cs="Arial"/>
          <w:sz w:val="24"/>
          <w:szCs w:val="24"/>
          <w:lang w:eastAsia="en-GB"/>
        </w:rPr>
      </w:pPr>
    </w:p>
    <w:p w14:paraId="18907ABE" w14:textId="77777777" w:rsidR="00EE4620" w:rsidRPr="00EE4620" w:rsidRDefault="00EE4620" w:rsidP="00EE4620">
      <w:pPr>
        <w:spacing w:after="0" w:line="240" w:lineRule="auto"/>
        <w:rPr>
          <w:rFonts w:ascii="Arial" w:eastAsia="Times New Roman" w:hAnsi="Arial" w:cs="Times New Roman"/>
          <w:b/>
          <w:lang w:eastAsia="en-GB"/>
        </w:rPr>
      </w:pPr>
    </w:p>
    <w:p w14:paraId="18907ABF" w14:textId="77777777" w:rsidR="00EE4620" w:rsidRPr="00EE4620" w:rsidRDefault="00EE4620" w:rsidP="00EE4620">
      <w:pPr>
        <w:spacing w:after="0" w:line="240" w:lineRule="auto"/>
        <w:rPr>
          <w:rFonts w:ascii="Arial" w:eastAsia="Times New Roman" w:hAnsi="Arial" w:cs="Times New Roman"/>
          <w:b/>
          <w:lang w:eastAsia="en-GB"/>
        </w:rPr>
      </w:pPr>
    </w:p>
    <w:p w14:paraId="18907AC0" w14:textId="77777777" w:rsidR="00EE4620" w:rsidRPr="00EE4620" w:rsidRDefault="00EE4620" w:rsidP="00EE4620">
      <w:pPr>
        <w:spacing w:after="0" w:line="240" w:lineRule="auto"/>
        <w:rPr>
          <w:rFonts w:ascii="Arial" w:eastAsia="Times New Roman" w:hAnsi="Arial" w:cs="Times New Roman"/>
          <w:b/>
          <w:lang w:eastAsia="en-GB"/>
        </w:rPr>
      </w:pPr>
    </w:p>
    <w:p w14:paraId="18907AC1" w14:textId="77777777" w:rsidR="00EE4620" w:rsidRPr="00EE4620" w:rsidRDefault="00EE4620" w:rsidP="00EE4620">
      <w:pPr>
        <w:spacing w:after="0" w:line="240" w:lineRule="auto"/>
        <w:rPr>
          <w:rFonts w:ascii="Arial" w:eastAsia="Times New Roman" w:hAnsi="Arial" w:cs="Times New Roman"/>
          <w:b/>
          <w:lang w:eastAsia="en-GB"/>
        </w:rPr>
      </w:pPr>
    </w:p>
    <w:p w14:paraId="18907AC2" w14:textId="77777777" w:rsidR="00EE4620" w:rsidRPr="00EE4620" w:rsidRDefault="00EE4620" w:rsidP="00EE4620">
      <w:pPr>
        <w:spacing w:after="0" w:line="240" w:lineRule="auto"/>
        <w:rPr>
          <w:rFonts w:ascii="Arial" w:eastAsia="Times New Roman" w:hAnsi="Arial" w:cs="Times New Roman"/>
          <w:b/>
          <w:lang w:eastAsia="en-GB"/>
        </w:rPr>
      </w:pPr>
    </w:p>
    <w:p w14:paraId="18907AC3" w14:textId="77777777" w:rsidR="00EE4620" w:rsidRPr="00EE4620" w:rsidRDefault="00EE4620" w:rsidP="00EE4620">
      <w:pPr>
        <w:spacing w:after="0" w:line="240" w:lineRule="auto"/>
        <w:rPr>
          <w:rFonts w:ascii="Arial" w:eastAsia="Times New Roman" w:hAnsi="Arial" w:cs="Times New Roman"/>
          <w:b/>
          <w:lang w:eastAsia="en-GB"/>
        </w:rPr>
      </w:pPr>
    </w:p>
    <w:p w14:paraId="18907AC4" w14:textId="77777777" w:rsidR="00EE4620" w:rsidRPr="00EE4620" w:rsidRDefault="00EE4620" w:rsidP="00EE4620">
      <w:pPr>
        <w:spacing w:after="0" w:line="240" w:lineRule="auto"/>
        <w:rPr>
          <w:rFonts w:ascii="Arial" w:eastAsia="Times New Roman" w:hAnsi="Arial" w:cs="Times New Roman"/>
          <w:b/>
          <w:lang w:eastAsia="en-GB"/>
        </w:rPr>
      </w:pPr>
    </w:p>
    <w:p w14:paraId="18907AC5" w14:textId="77777777" w:rsidR="00EE4620" w:rsidRPr="00EE4620" w:rsidRDefault="00EE4620" w:rsidP="00EE4620">
      <w:pPr>
        <w:spacing w:after="0" w:line="240" w:lineRule="auto"/>
        <w:rPr>
          <w:rFonts w:ascii="Arial" w:eastAsia="Times New Roman" w:hAnsi="Arial" w:cs="Times New Roman"/>
          <w:b/>
          <w:lang w:eastAsia="en-GB"/>
        </w:rPr>
      </w:pPr>
    </w:p>
    <w:p w14:paraId="18907AC6" w14:textId="77777777" w:rsidR="00EE4620" w:rsidRPr="00EE4620" w:rsidRDefault="00EE4620" w:rsidP="00EE4620">
      <w:pPr>
        <w:spacing w:after="0" w:line="240" w:lineRule="auto"/>
        <w:rPr>
          <w:rFonts w:ascii="Arial" w:eastAsia="Times New Roman" w:hAnsi="Arial" w:cs="Times New Roman"/>
          <w:b/>
          <w:lang w:eastAsia="en-GB"/>
        </w:rPr>
      </w:pPr>
    </w:p>
    <w:p w14:paraId="18907AC7" w14:textId="77777777" w:rsidR="00EE4620" w:rsidRPr="00EE4620" w:rsidRDefault="00EE4620" w:rsidP="00EE4620">
      <w:pPr>
        <w:spacing w:after="0" w:line="240" w:lineRule="auto"/>
        <w:rPr>
          <w:rFonts w:ascii="Arial" w:eastAsia="Times New Roman" w:hAnsi="Arial" w:cs="Times New Roman"/>
          <w:b/>
          <w:lang w:eastAsia="en-GB"/>
        </w:rPr>
      </w:pPr>
    </w:p>
    <w:p w14:paraId="18907AC8" w14:textId="77777777" w:rsidR="00EE4620" w:rsidRPr="00EE4620" w:rsidRDefault="00EE4620" w:rsidP="00EE4620">
      <w:pPr>
        <w:spacing w:after="0" w:line="240" w:lineRule="auto"/>
        <w:rPr>
          <w:rFonts w:ascii="Arial" w:eastAsia="Times New Roman" w:hAnsi="Arial" w:cs="Times New Roman"/>
          <w:b/>
          <w:lang w:eastAsia="en-GB"/>
        </w:rPr>
      </w:pPr>
    </w:p>
    <w:p w14:paraId="18907AC9" w14:textId="77777777" w:rsidR="00EE4620" w:rsidRPr="00EE4620" w:rsidRDefault="00EE4620" w:rsidP="00EE4620">
      <w:pPr>
        <w:spacing w:after="0" w:line="240" w:lineRule="auto"/>
        <w:rPr>
          <w:rFonts w:ascii="Arial" w:eastAsia="Times New Roman" w:hAnsi="Arial" w:cs="Times New Roman"/>
          <w:b/>
          <w:lang w:eastAsia="en-GB"/>
        </w:rPr>
      </w:pPr>
    </w:p>
    <w:p w14:paraId="18907ACA" w14:textId="77777777" w:rsidR="00EE4620" w:rsidRPr="00EE4620" w:rsidRDefault="00EE4620" w:rsidP="00EE4620">
      <w:pPr>
        <w:spacing w:after="0" w:line="240" w:lineRule="auto"/>
        <w:rPr>
          <w:rFonts w:ascii="Arial" w:eastAsia="Times New Roman" w:hAnsi="Arial" w:cs="Times New Roman"/>
          <w:b/>
          <w:lang w:eastAsia="en-GB"/>
        </w:rPr>
      </w:pPr>
    </w:p>
    <w:p w14:paraId="18907ACB" w14:textId="77777777" w:rsidR="00EE4620" w:rsidRPr="00EE4620" w:rsidRDefault="00EE4620" w:rsidP="00EE4620">
      <w:pPr>
        <w:spacing w:after="0" w:line="240" w:lineRule="auto"/>
        <w:rPr>
          <w:rFonts w:ascii="Arial" w:eastAsia="Times New Roman" w:hAnsi="Arial" w:cs="Times New Roman"/>
          <w:b/>
          <w:lang w:eastAsia="en-GB"/>
        </w:rPr>
      </w:pPr>
    </w:p>
    <w:p w14:paraId="18907ACC" w14:textId="77777777" w:rsidR="00EE4620" w:rsidRPr="00EE4620" w:rsidRDefault="00EE4620" w:rsidP="00EE4620">
      <w:pPr>
        <w:spacing w:after="0" w:line="240" w:lineRule="auto"/>
        <w:rPr>
          <w:rFonts w:ascii="Arial" w:eastAsia="Times New Roman" w:hAnsi="Arial" w:cs="Times New Roman"/>
          <w:b/>
          <w:lang w:eastAsia="en-GB"/>
        </w:rPr>
      </w:pPr>
    </w:p>
    <w:p w14:paraId="18907ACD" w14:textId="77777777" w:rsidR="00EE4620" w:rsidRPr="00EE4620" w:rsidRDefault="00EE4620" w:rsidP="00EE4620">
      <w:pPr>
        <w:spacing w:after="0" w:line="240" w:lineRule="auto"/>
        <w:rPr>
          <w:rFonts w:ascii="Arial" w:eastAsia="Times New Roman" w:hAnsi="Arial" w:cs="Times New Roman"/>
          <w:b/>
          <w:lang w:eastAsia="en-GB"/>
        </w:rPr>
      </w:pPr>
    </w:p>
    <w:p w14:paraId="18907ACE" w14:textId="77777777" w:rsidR="00EE4620" w:rsidRPr="00EE4620" w:rsidRDefault="00EE4620" w:rsidP="00EE4620">
      <w:pPr>
        <w:spacing w:after="0" w:line="240" w:lineRule="auto"/>
        <w:rPr>
          <w:rFonts w:ascii="Arial" w:eastAsia="Times New Roman" w:hAnsi="Arial" w:cs="Times New Roman"/>
          <w:b/>
          <w:lang w:eastAsia="en-GB"/>
        </w:rPr>
      </w:pPr>
    </w:p>
    <w:p w14:paraId="18907ACF" w14:textId="77777777" w:rsidR="00EE4620" w:rsidRPr="00EE4620" w:rsidRDefault="00EE4620" w:rsidP="00EE4620">
      <w:pPr>
        <w:spacing w:after="0" w:line="240" w:lineRule="auto"/>
        <w:rPr>
          <w:rFonts w:ascii="Arial" w:eastAsia="Times New Roman" w:hAnsi="Arial" w:cs="Times New Roman"/>
          <w:b/>
          <w:lang w:eastAsia="en-GB"/>
        </w:rPr>
      </w:pPr>
    </w:p>
    <w:p w14:paraId="18907AD0" w14:textId="77777777" w:rsidR="00EE4620" w:rsidRPr="00EE4620" w:rsidRDefault="00EE4620" w:rsidP="00EE4620">
      <w:pPr>
        <w:spacing w:after="0" w:line="240" w:lineRule="auto"/>
        <w:rPr>
          <w:rFonts w:ascii="Arial" w:eastAsia="Times New Roman" w:hAnsi="Arial" w:cs="Times New Roman"/>
          <w:b/>
          <w:lang w:eastAsia="en-GB"/>
        </w:rPr>
      </w:pPr>
    </w:p>
    <w:p w14:paraId="18907AD1" w14:textId="77777777" w:rsidR="00EE4620" w:rsidRPr="00EE4620" w:rsidRDefault="00EE4620" w:rsidP="00EE4620">
      <w:pPr>
        <w:spacing w:after="0" w:line="240" w:lineRule="auto"/>
        <w:rPr>
          <w:rFonts w:ascii="Arial" w:eastAsia="Times New Roman" w:hAnsi="Arial" w:cs="Times New Roman"/>
          <w:b/>
          <w:lang w:eastAsia="en-GB"/>
        </w:rPr>
      </w:pPr>
    </w:p>
    <w:p w14:paraId="18907AD2" w14:textId="77777777" w:rsidR="00EE4620" w:rsidRPr="00EE4620" w:rsidRDefault="00EE4620" w:rsidP="00EE4620">
      <w:pPr>
        <w:spacing w:after="0" w:line="240" w:lineRule="auto"/>
        <w:rPr>
          <w:rFonts w:ascii="Arial" w:eastAsia="Times New Roman" w:hAnsi="Arial" w:cs="Times New Roman"/>
          <w:b/>
          <w:lang w:eastAsia="en-GB"/>
        </w:rPr>
      </w:pPr>
    </w:p>
    <w:p w14:paraId="18907AD3" w14:textId="77777777" w:rsidR="00EE4620" w:rsidRPr="00EE4620" w:rsidRDefault="00EE4620" w:rsidP="00EE4620">
      <w:pPr>
        <w:spacing w:after="0" w:line="240" w:lineRule="auto"/>
        <w:rPr>
          <w:rFonts w:ascii="Arial" w:eastAsia="Times New Roman" w:hAnsi="Arial" w:cs="Times New Roman"/>
          <w:b/>
          <w:lang w:eastAsia="en-GB"/>
        </w:rPr>
      </w:pPr>
    </w:p>
    <w:p w14:paraId="18907AD4" w14:textId="77777777" w:rsidR="00EE4620" w:rsidRPr="00EE4620" w:rsidRDefault="00EE4620" w:rsidP="00EE4620">
      <w:pPr>
        <w:spacing w:after="0" w:line="240" w:lineRule="auto"/>
        <w:rPr>
          <w:rFonts w:ascii="Arial" w:eastAsia="Times New Roman" w:hAnsi="Arial" w:cs="Times New Roman"/>
          <w:b/>
          <w:lang w:eastAsia="en-GB"/>
        </w:rPr>
      </w:pPr>
    </w:p>
    <w:p w14:paraId="18907AD5" w14:textId="77777777" w:rsidR="00EE4620" w:rsidRPr="00EE4620" w:rsidRDefault="00EE4620" w:rsidP="00EE4620">
      <w:pPr>
        <w:spacing w:after="0" w:line="240" w:lineRule="auto"/>
        <w:rPr>
          <w:rFonts w:ascii="Arial" w:eastAsia="Times New Roman" w:hAnsi="Arial" w:cs="Times New Roman"/>
          <w:b/>
          <w:lang w:eastAsia="en-GB"/>
        </w:rPr>
      </w:pPr>
    </w:p>
    <w:p w14:paraId="18907AD6" w14:textId="77777777" w:rsidR="00EE4620" w:rsidRPr="00EE4620" w:rsidRDefault="00EE4620" w:rsidP="00EE4620">
      <w:pPr>
        <w:spacing w:after="0" w:line="240" w:lineRule="auto"/>
        <w:rPr>
          <w:rFonts w:ascii="Arial" w:eastAsia="Times New Roman" w:hAnsi="Arial" w:cs="Times New Roman"/>
          <w:b/>
          <w:lang w:eastAsia="en-GB"/>
        </w:rPr>
      </w:pPr>
    </w:p>
    <w:p w14:paraId="18907AD7" w14:textId="77777777" w:rsidR="00EE4620" w:rsidRPr="00EE4620" w:rsidRDefault="00EE4620" w:rsidP="00EE4620">
      <w:pPr>
        <w:spacing w:after="0" w:line="240" w:lineRule="auto"/>
        <w:rPr>
          <w:rFonts w:ascii="Arial" w:eastAsia="Times New Roman" w:hAnsi="Arial" w:cs="Times New Roman"/>
          <w:b/>
          <w:lang w:eastAsia="en-GB"/>
        </w:rPr>
      </w:pPr>
    </w:p>
    <w:p w14:paraId="18907AD8" w14:textId="77777777" w:rsidR="00EE4620" w:rsidRPr="00EE4620" w:rsidRDefault="00EE4620" w:rsidP="00EE4620">
      <w:pPr>
        <w:spacing w:after="0" w:line="240" w:lineRule="auto"/>
        <w:rPr>
          <w:rFonts w:ascii="Arial" w:eastAsia="Times New Roman" w:hAnsi="Arial" w:cs="Times New Roman"/>
          <w:b/>
          <w:lang w:eastAsia="en-GB"/>
        </w:rPr>
      </w:pPr>
      <w:r w:rsidRPr="00EE4620">
        <w:rPr>
          <w:rFonts w:ascii="Arial" w:eastAsia="Times New Roman" w:hAnsi="Arial" w:cs="Times New Roman"/>
          <w:b/>
          <w:lang w:eastAsia="en-GB"/>
        </w:rPr>
        <w:t>LGA capabilities</w:t>
      </w:r>
    </w:p>
    <w:p w14:paraId="18907AD9" w14:textId="77777777" w:rsidR="00EE4620" w:rsidRPr="00EE4620" w:rsidRDefault="00EE4620" w:rsidP="00EE4620">
      <w:pPr>
        <w:spacing w:after="0" w:line="240" w:lineRule="auto"/>
        <w:rPr>
          <w:rFonts w:ascii="Arial" w:eastAsia="Times New Roman" w:hAnsi="Arial" w:cs="Times New Roman"/>
          <w:lang w:eastAsia="en-GB"/>
        </w:rPr>
      </w:pPr>
    </w:p>
    <w:p w14:paraId="18907ADA" w14:textId="0E68EC84" w:rsidR="00EE4620" w:rsidRPr="00EE4620" w:rsidRDefault="00EE4620" w:rsidP="00DD3B11">
      <w:pPr>
        <w:numPr>
          <w:ilvl w:val="0"/>
          <w:numId w:val="3"/>
        </w:numPr>
        <w:spacing w:before="120" w:after="360" w:line="240" w:lineRule="auto"/>
        <w:ind w:left="567" w:hanging="567"/>
        <w:contextualSpacing/>
        <w:rPr>
          <w:rFonts w:ascii="Arial" w:eastAsia="Times New Roman" w:hAnsi="Arial" w:cs="Times New Roman"/>
          <w:lang w:eastAsia="en-GB"/>
        </w:rPr>
      </w:pPr>
      <w:r w:rsidRPr="00EE4620">
        <w:rPr>
          <w:rFonts w:ascii="Arial" w:eastAsia="Times New Roman" w:hAnsi="Arial" w:cs="Times New Roman"/>
          <w:lang w:eastAsia="en-GB"/>
        </w:rPr>
        <w:t>Respondents are particularly likely to agree that we stand up for and defend the reputation of local government (</w:t>
      </w:r>
      <w:r w:rsidRPr="00EE4620">
        <w:rPr>
          <w:rFonts w:ascii="Arial" w:eastAsia="Times New Roman" w:hAnsi="Arial" w:cs="Times New Roman"/>
          <w:b/>
          <w:lang w:eastAsia="en-GB"/>
        </w:rPr>
        <w:t>85 per cent</w:t>
      </w:r>
      <w:r w:rsidRPr="00EE4620">
        <w:rPr>
          <w:rFonts w:ascii="Arial" w:eastAsia="Times New Roman" w:hAnsi="Arial" w:cs="Times New Roman"/>
          <w:lang w:eastAsia="en-GB"/>
        </w:rPr>
        <w:t>) and that we address the issues that are important to councils (</w:t>
      </w:r>
      <w:r w:rsidRPr="00EE4620">
        <w:rPr>
          <w:rFonts w:ascii="Arial" w:eastAsia="Times New Roman" w:hAnsi="Arial" w:cs="Times New Roman"/>
          <w:b/>
          <w:lang w:eastAsia="en-GB"/>
        </w:rPr>
        <w:t>83 per cent</w:t>
      </w:r>
      <w:r w:rsidRPr="00EE4620">
        <w:rPr>
          <w:rFonts w:ascii="Arial" w:eastAsia="Times New Roman" w:hAnsi="Arial" w:cs="Times New Roman"/>
          <w:lang w:eastAsia="en-GB"/>
        </w:rPr>
        <w:t>).</w:t>
      </w:r>
    </w:p>
    <w:p w14:paraId="18907ADB" w14:textId="77777777" w:rsidR="00EE4620" w:rsidRPr="00EE4620" w:rsidRDefault="00EE4620" w:rsidP="00EE4620">
      <w:pPr>
        <w:spacing w:after="0" w:line="240" w:lineRule="auto"/>
        <w:rPr>
          <w:rFonts w:ascii="Arial" w:eastAsia="Times New Roman" w:hAnsi="Arial" w:cs="Times New Roman"/>
          <w:lang w:eastAsia="en-GB"/>
        </w:rPr>
      </w:pPr>
    </w:p>
    <w:p w14:paraId="18907ADC" w14:textId="2DA46536" w:rsidR="00EE4620" w:rsidRPr="00EE4620" w:rsidRDefault="00EE4620" w:rsidP="00DD3B11">
      <w:pPr>
        <w:numPr>
          <w:ilvl w:val="0"/>
          <w:numId w:val="3"/>
        </w:numPr>
        <w:spacing w:before="120" w:after="360" w:line="240" w:lineRule="auto"/>
        <w:ind w:left="567" w:hanging="567"/>
        <w:contextualSpacing/>
        <w:rPr>
          <w:rFonts w:ascii="Arial" w:eastAsia="Times New Roman" w:hAnsi="Arial" w:cs="Times New Roman"/>
          <w:lang w:eastAsia="en-GB"/>
        </w:rPr>
      </w:pPr>
      <w:r w:rsidRPr="00EE4620">
        <w:rPr>
          <w:rFonts w:ascii="Arial" w:eastAsia="Times New Roman" w:hAnsi="Arial" w:cs="Times New Roman"/>
          <w:lang w:eastAsia="en-GB"/>
        </w:rPr>
        <w:t>More than three-quarters agree that we understand what councils need to help them improve their services and organisational capacity (</w:t>
      </w:r>
      <w:r w:rsidRPr="00EE4620">
        <w:rPr>
          <w:rFonts w:ascii="Arial" w:eastAsia="Times New Roman" w:hAnsi="Arial" w:cs="Times New Roman"/>
          <w:b/>
          <w:lang w:eastAsia="en-GB"/>
        </w:rPr>
        <w:t>77 per cent</w:t>
      </w:r>
      <w:r w:rsidRPr="00EE4620">
        <w:rPr>
          <w:rFonts w:ascii="Arial" w:eastAsia="Times New Roman" w:hAnsi="Arial" w:cs="Times New Roman"/>
          <w:lang w:eastAsia="en-GB"/>
        </w:rPr>
        <w:t>); effectively represents the views of our members to central government (</w:t>
      </w:r>
      <w:r w:rsidRPr="00EE4620">
        <w:rPr>
          <w:rFonts w:ascii="Arial" w:eastAsia="Times New Roman" w:hAnsi="Arial" w:cs="Times New Roman"/>
          <w:b/>
          <w:lang w:eastAsia="en-GB"/>
        </w:rPr>
        <w:t>77 per cen</w:t>
      </w:r>
      <w:r w:rsidRPr="00EE4620">
        <w:rPr>
          <w:rFonts w:ascii="Arial" w:eastAsia="Times New Roman" w:hAnsi="Arial" w:cs="Times New Roman"/>
          <w:lang w:eastAsia="en-GB"/>
        </w:rPr>
        <w:t>t); and help to set and drive improvement in local government (</w:t>
      </w:r>
      <w:r w:rsidRPr="00EE4620">
        <w:rPr>
          <w:rFonts w:ascii="Arial" w:eastAsia="Times New Roman" w:hAnsi="Arial" w:cs="Times New Roman"/>
          <w:b/>
          <w:lang w:eastAsia="en-GB"/>
        </w:rPr>
        <w:t>76</w:t>
      </w:r>
      <w:r w:rsidRPr="00EE4620">
        <w:rPr>
          <w:rFonts w:ascii="Arial" w:eastAsia="Times New Roman" w:hAnsi="Arial" w:cs="Times New Roman"/>
          <w:lang w:eastAsia="en-GB"/>
        </w:rPr>
        <w:t xml:space="preserve"> </w:t>
      </w:r>
      <w:r w:rsidRPr="00EE4620">
        <w:rPr>
          <w:rFonts w:ascii="Arial" w:eastAsia="Times New Roman" w:hAnsi="Arial" w:cs="Times New Roman"/>
          <w:b/>
          <w:lang w:eastAsia="en-GB"/>
        </w:rPr>
        <w:t>per cent</w:t>
      </w:r>
      <w:r w:rsidRPr="00EE4620">
        <w:rPr>
          <w:rFonts w:ascii="Arial" w:eastAsia="Times New Roman" w:hAnsi="Arial" w:cs="Times New Roman"/>
          <w:lang w:eastAsia="en-GB"/>
        </w:rPr>
        <w:t>).  There has been significant improvement since 2012 in each of these respects.</w:t>
      </w:r>
    </w:p>
    <w:p w14:paraId="18907ADD" w14:textId="77777777" w:rsidR="00EE4620" w:rsidRPr="00EE4620" w:rsidRDefault="00EE4620" w:rsidP="00EE4620">
      <w:pPr>
        <w:spacing w:after="0" w:line="240" w:lineRule="auto"/>
        <w:rPr>
          <w:rFonts w:ascii="Arial" w:eastAsia="Times New Roman" w:hAnsi="Arial" w:cs="Arial"/>
          <w:b/>
          <w:lang w:eastAsia="en-GB"/>
        </w:rPr>
      </w:pPr>
    </w:p>
    <w:p w14:paraId="18907ADE" w14:textId="37ADE775" w:rsidR="00EE4620" w:rsidRPr="00DD3B11" w:rsidRDefault="00EE4620" w:rsidP="00DD3B11">
      <w:pPr>
        <w:numPr>
          <w:ilvl w:val="0"/>
          <w:numId w:val="3"/>
        </w:numPr>
        <w:spacing w:before="120" w:after="360" w:line="240" w:lineRule="auto"/>
        <w:ind w:left="567" w:hanging="567"/>
        <w:contextualSpacing/>
        <w:rPr>
          <w:rFonts w:ascii="Arial" w:eastAsia="Times New Roman" w:hAnsi="Arial" w:cs="Times New Roman"/>
          <w:lang w:eastAsia="en-GB"/>
        </w:rPr>
      </w:pPr>
      <w:r w:rsidRPr="00EE4620">
        <w:rPr>
          <w:rFonts w:ascii="Arial" w:eastAsia="Times New Roman" w:hAnsi="Arial" w:cs="Arial"/>
          <w:b/>
          <w:lang w:eastAsia="en-GB"/>
        </w:rPr>
        <w:t>Fifty three per cent</w:t>
      </w:r>
      <w:r w:rsidRPr="00EE4620">
        <w:rPr>
          <w:rFonts w:ascii="Arial" w:eastAsia="Times New Roman" w:hAnsi="Arial" w:cs="Arial"/>
          <w:lang w:eastAsia="en-GB"/>
        </w:rPr>
        <w:t xml:space="preserve"> agree that we provide value for money, which is a significant </w:t>
      </w:r>
      <w:r w:rsidRPr="00DD3B11">
        <w:rPr>
          <w:rFonts w:ascii="Arial" w:eastAsia="Times New Roman" w:hAnsi="Arial" w:cs="Times New Roman"/>
          <w:lang w:eastAsia="en-GB"/>
        </w:rPr>
        <w:t>improvement on last year (43 per cent).</w:t>
      </w:r>
    </w:p>
    <w:p w14:paraId="18907ADF" w14:textId="77777777" w:rsidR="00EE4620" w:rsidRPr="00EE4620" w:rsidRDefault="00EE4620" w:rsidP="00EE4620">
      <w:pPr>
        <w:spacing w:after="0" w:line="240" w:lineRule="auto"/>
        <w:rPr>
          <w:rFonts w:ascii="Arial" w:eastAsia="Times New Roman" w:hAnsi="Arial" w:cs="Arial"/>
          <w:lang w:eastAsia="en-GB"/>
        </w:rPr>
      </w:pPr>
    </w:p>
    <w:p w14:paraId="18907AE0" w14:textId="77777777" w:rsidR="00EE4620" w:rsidRPr="00EE4620" w:rsidRDefault="00EE4620" w:rsidP="00EE4620">
      <w:pPr>
        <w:spacing w:after="0" w:line="240" w:lineRule="auto"/>
        <w:ind w:left="720" w:hanging="720"/>
        <w:rPr>
          <w:rFonts w:ascii="Arial" w:eastAsia="Times New Roman" w:hAnsi="Arial" w:cs="Arial"/>
          <w:sz w:val="24"/>
          <w:szCs w:val="24"/>
          <w:lang w:eastAsia="en-GB"/>
        </w:rPr>
      </w:pPr>
    </w:p>
    <w:p w14:paraId="18907AE1" w14:textId="77777777" w:rsidR="00EE4620" w:rsidRDefault="00EE4620" w:rsidP="00EE4620">
      <w:pPr>
        <w:spacing w:after="0" w:line="240" w:lineRule="auto"/>
        <w:ind w:left="720" w:hanging="720"/>
        <w:rPr>
          <w:rFonts w:ascii="Arial" w:eastAsia="Times New Roman" w:hAnsi="Arial" w:cs="Arial"/>
          <w:b/>
          <w:lang w:eastAsia="en-GB"/>
        </w:rPr>
      </w:pPr>
      <w:r>
        <w:rPr>
          <w:rFonts w:ascii="Arial" w:eastAsia="Times New Roman" w:hAnsi="Arial" w:cs="Arial"/>
          <w:b/>
          <w:lang w:eastAsia="en-GB"/>
        </w:rPr>
        <w:br w:type="page"/>
      </w:r>
    </w:p>
    <w:p w14:paraId="18907AE2" w14:textId="77777777" w:rsidR="00EE4620" w:rsidRPr="00EE4620" w:rsidRDefault="00EE4620" w:rsidP="00EE4620">
      <w:pPr>
        <w:spacing w:after="0" w:line="240" w:lineRule="auto"/>
        <w:ind w:left="720" w:hanging="720"/>
        <w:rPr>
          <w:rFonts w:ascii="Arial" w:eastAsia="Times New Roman" w:hAnsi="Arial" w:cs="Arial"/>
          <w:b/>
          <w:lang w:eastAsia="en-GB"/>
        </w:rPr>
      </w:pPr>
      <w:r w:rsidRPr="00EE4620">
        <w:rPr>
          <w:rFonts w:ascii="Arial" w:eastAsia="Times New Roman" w:hAnsi="Arial" w:cs="Arial"/>
          <w:b/>
          <w:lang w:eastAsia="en-GB"/>
        </w:rPr>
        <w:lastRenderedPageBreak/>
        <w:t xml:space="preserve">Table 6 - To what extent do you agree or disagree with the following </w:t>
      </w:r>
    </w:p>
    <w:p w14:paraId="18907AE3" w14:textId="77777777" w:rsidR="00EE4620" w:rsidRPr="00EE4620" w:rsidRDefault="00EE4620" w:rsidP="00EE4620">
      <w:pPr>
        <w:spacing w:after="0" w:line="240" w:lineRule="auto"/>
        <w:rPr>
          <w:rFonts w:ascii="Arial" w:eastAsia="Times New Roman" w:hAnsi="Arial" w:cs="Arial"/>
          <w:b/>
          <w:lang w:eastAsia="en-GB"/>
        </w:rPr>
      </w:pPr>
      <w:proofErr w:type="gramStart"/>
      <w:r w:rsidRPr="00EE4620">
        <w:rPr>
          <w:rFonts w:ascii="Arial" w:eastAsia="Times New Roman" w:hAnsi="Arial" w:cs="Arial"/>
          <w:b/>
          <w:lang w:eastAsia="en-GB"/>
        </w:rPr>
        <w:t>statements</w:t>
      </w:r>
      <w:proofErr w:type="gramEnd"/>
      <w:r w:rsidRPr="00EE4620">
        <w:rPr>
          <w:rFonts w:ascii="Arial" w:eastAsia="Times New Roman" w:hAnsi="Arial" w:cs="Arial"/>
          <w:b/>
          <w:lang w:eastAsia="en-GB"/>
        </w:rPr>
        <w:t>?</w:t>
      </w:r>
    </w:p>
    <w:p w14:paraId="18907AE4" w14:textId="77777777" w:rsidR="00EE4620" w:rsidRPr="00EE4620" w:rsidRDefault="00EE4620" w:rsidP="00EE4620">
      <w:pPr>
        <w:keepNext/>
        <w:spacing w:after="0" w:line="240" w:lineRule="auto"/>
        <w:rPr>
          <w:rFonts w:ascii="Arial" w:eastAsia="Times New Roman" w:hAnsi="Arial" w:cs="Times New Roman"/>
          <w:b/>
          <w:bCs/>
          <w:lang w:eastAsia="en-GB"/>
        </w:rPr>
      </w:pPr>
      <w:r w:rsidRPr="00EE4620">
        <w:rPr>
          <w:rFonts w:ascii="Arial" w:eastAsia="Times New Roman" w:hAnsi="Arial" w:cs="Times New Roman"/>
          <w:b/>
          <w:bCs/>
          <w:noProof/>
          <w:sz w:val="20"/>
          <w:szCs w:val="20"/>
          <w:lang w:eastAsia="en-GB"/>
        </w:rPr>
        <w:drawing>
          <wp:inline distT="0" distB="0" distL="0" distR="0" wp14:anchorId="18907CF8" wp14:editId="18907CF9">
            <wp:extent cx="5274310" cy="4485005"/>
            <wp:effectExtent l="0" t="0" r="2540" b="0"/>
            <wp:docPr id="5"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8907AE5" w14:textId="77777777" w:rsidR="00EE4620" w:rsidRPr="00EE4620" w:rsidRDefault="00EE4620" w:rsidP="00EE4620">
      <w:pPr>
        <w:keepNext/>
        <w:spacing w:after="0" w:line="240" w:lineRule="auto"/>
        <w:rPr>
          <w:rFonts w:ascii="Arial" w:eastAsia="Times New Roman" w:hAnsi="Arial" w:cs="Times New Roman"/>
          <w:b/>
          <w:bCs/>
          <w:lang w:eastAsia="en-GB"/>
        </w:rPr>
      </w:pPr>
    </w:p>
    <w:p w14:paraId="18907AE6" w14:textId="77777777" w:rsidR="00EE4620" w:rsidRPr="00EE4620" w:rsidRDefault="00EE4620" w:rsidP="00EE4620">
      <w:pPr>
        <w:spacing w:after="0" w:line="240" w:lineRule="auto"/>
        <w:rPr>
          <w:rFonts w:ascii="Arial" w:eastAsia="Times New Roman" w:hAnsi="Arial" w:cs="Arial"/>
          <w:b/>
          <w:bCs/>
          <w:lang w:eastAsia="en-GB"/>
        </w:rPr>
      </w:pPr>
      <w:r w:rsidRPr="00EE4620">
        <w:rPr>
          <w:rFonts w:ascii="Arial" w:eastAsia="Times New Roman" w:hAnsi="Arial" w:cs="Arial"/>
          <w:sz w:val="24"/>
          <w:szCs w:val="24"/>
          <w:lang w:eastAsia="en-GB"/>
        </w:rPr>
        <w:br w:type="page"/>
      </w:r>
      <w:r w:rsidRPr="00EE4620">
        <w:rPr>
          <w:rFonts w:ascii="Arial" w:eastAsia="Times New Roman" w:hAnsi="Arial" w:cs="Arial"/>
          <w:b/>
          <w:lang w:eastAsia="en-GB"/>
        </w:rPr>
        <w:lastRenderedPageBreak/>
        <w:t xml:space="preserve">Table 7 – </w:t>
      </w:r>
      <w:r w:rsidRPr="00EE4620">
        <w:rPr>
          <w:rFonts w:ascii="Arial" w:eastAsia="Times New Roman" w:hAnsi="Arial" w:cs="Arial"/>
          <w:b/>
          <w:bCs/>
          <w:lang w:eastAsia="en-GB"/>
        </w:rPr>
        <w:t xml:space="preserve">Agreement with the capabilities of the LGA - Comparison between 2012 and 2013 research </w:t>
      </w:r>
    </w:p>
    <w:p w14:paraId="18907AE7" w14:textId="77777777" w:rsidR="00EE4620" w:rsidRPr="00EE4620" w:rsidRDefault="00EE4620" w:rsidP="00EE4620">
      <w:pPr>
        <w:spacing w:after="0" w:line="240" w:lineRule="auto"/>
        <w:jc w:val="both"/>
        <w:rPr>
          <w:rFonts w:ascii="Arial" w:eastAsia="Times New Roman" w:hAnsi="Arial" w:cs="Arial"/>
          <w:b/>
          <w:sz w:val="24"/>
          <w:szCs w:val="24"/>
          <w:lang w:eastAsia="en-GB"/>
        </w:rPr>
      </w:pPr>
    </w:p>
    <w:tbl>
      <w:tblPr>
        <w:tblStyle w:val="BMGTable"/>
        <w:tblW w:w="9969"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694"/>
        <w:gridCol w:w="896"/>
        <w:gridCol w:w="851"/>
        <w:gridCol w:w="850"/>
        <w:gridCol w:w="851"/>
        <w:gridCol w:w="993"/>
        <w:gridCol w:w="872"/>
        <w:gridCol w:w="970"/>
        <w:gridCol w:w="992"/>
      </w:tblGrid>
      <w:tr w:rsidR="00EE4620" w:rsidRPr="00EE4620" w14:paraId="18907AED" w14:textId="77777777" w:rsidTr="00E554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000000" w:themeFill="text1"/>
            <w:vAlign w:val="top"/>
          </w:tcPr>
          <w:p w14:paraId="18907AE8" w14:textId="77777777" w:rsidR="00EE4620" w:rsidRPr="00EE4620" w:rsidRDefault="00EE4620" w:rsidP="00EE4620">
            <w:pPr>
              <w:rPr>
                <w:rFonts w:cs="Arial"/>
              </w:rPr>
            </w:pPr>
          </w:p>
        </w:tc>
        <w:tc>
          <w:tcPr>
            <w:tcW w:w="1747" w:type="dxa"/>
            <w:gridSpan w:val="2"/>
            <w:shd w:val="clear" w:color="auto" w:fill="000000" w:themeFill="text1"/>
            <w:vAlign w:val="top"/>
          </w:tcPr>
          <w:p w14:paraId="18907AE9" w14:textId="77777777" w:rsidR="00EE4620" w:rsidRPr="00EE4620" w:rsidRDefault="00EE4620" w:rsidP="00EE4620">
            <w:pPr>
              <w:cnfStyle w:val="100000000000" w:firstRow="1" w:lastRow="0" w:firstColumn="0" w:lastColumn="0" w:oddVBand="0" w:evenVBand="0" w:oddHBand="0" w:evenHBand="0" w:firstRowFirstColumn="0" w:firstRowLastColumn="0" w:lastRowFirstColumn="0" w:lastRowLastColumn="0"/>
              <w:rPr>
                <w:rFonts w:cs="Arial"/>
              </w:rPr>
            </w:pPr>
            <w:r w:rsidRPr="00EE4620">
              <w:rPr>
                <w:rFonts w:cs="Arial"/>
              </w:rPr>
              <w:t>Total</w:t>
            </w:r>
          </w:p>
        </w:tc>
        <w:tc>
          <w:tcPr>
            <w:tcW w:w="1701" w:type="dxa"/>
            <w:gridSpan w:val="2"/>
            <w:shd w:val="clear" w:color="auto" w:fill="000000" w:themeFill="text1"/>
            <w:vAlign w:val="top"/>
          </w:tcPr>
          <w:p w14:paraId="18907AEA" w14:textId="77777777" w:rsidR="00EE4620" w:rsidRPr="00EE4620" w:rsidRDefault="00EE4620" w:rsidP="00EE4620">
            <w:pPr>
              <w:cnfStyle w:val="100000000000" w:firstRow="1" w:lastRow="0" w:firstColumn="0" w:lastColumn="0" w:oddVBand="0" w:evenVBand="0" w:oddHBand="0" w:evenHBand="0" w:firstRowFirstColumn="0" w:firstRowLastColumn="0" w:lastRowFirstColumn="0" w:lastRowLastColumn="0"/>
              <w:rPr>
                <w:rFonts w:cs="Arial"/>
              </w:rPr>
            </w:pPr>
            <w:r w:rsidRPr="00EE4620">
              <w:rPr>
                <w:rFonts w:cs="Arial"/>
              </w:rPr>
              <w:t>Officers</w:t>
            </w:r>
          </w:p>
        </w:tc>
        <w:tc>
          <w:tcPr>
            <w:tcW w:w="1865" w:type="dxa"/>
            <w:gridSpan w:val="2"/>
            <w:shd w:val="clear" w:color="auto" w:fill="000000" w:themeFill="text1"/>
            <w:vAlign w:val="top"/>
          </w:tcPr>
          <w:p w14:paraId="18907AEB" w14:textId="77777777" w:rsidR="00EE4620" w:rsidRPr="00EE4620" w:rsidRDefault="00EE4620" w:rsidP="00EE4620">
            <w:pPr>
              <w:cnfStyle w:val="100000000000" w:firstRow="1" w:lastRow="0" w:firstColumn="0" w:lastColumn="0" w:oddVBand="0" w:evenVBand="0" w:oddHBand="0" w:evenHBand="0" w:firstRowFirstColumn="0" w:firstRowLastColumn="0" w:lastRowFirstColumn="0" w:lastRowLastColumn="0"/>
              <w:rPr>
                <w:rFonts w:cs="Arial"/>
              </w:rPr>
            </w:pPr>
            <w:r w:rsidRPr="00EE4620">
              <w:rPr>
                <w:rFonts w:cs="Arial"/>
              </w:rPr>
              <w:t xml:space="preserve">Frontbench </w:t>
            </w:r>
            <w:proofErr w:type="spellStart"/>
            <w:r w:rsidRPr="00EE4620">
              <w:rPr>
                <w:rFonts w:cs="Arial"/>
              </w:rPr>
              <w:t>Councillors</w:t>
            </w:r>
            <w:proofErr w:type="spellEnd"/>
          </w:p>
        </w:tc>
        <w:tc>
          <w:tcPr>
            <w:tcW w:w="1962" w:type="dxa"/>
            <w:gridSpan w:val="2"/>
            <w:shd w:val="clear" w:color="auto" w:fill="000000" w:themeFill="text1"/>
            <w:vAlign w:val="top"/>
          </w:tcPr>
          <w:p w14:paraId="18907AEC" w14:textId="77777777" w:rsidR="00EE4620" w:rsidRPr="00EE4620" w:rsidRDefault="00EE4620" w:rsidP="00EE4620">
            <w:pPr>
              <w:cnfStyle w:val="100000000000" w:firstRow="1" w:lastRow="0" w:firstColumn="0" w:lastColumn="0" w:oddVBand="0" w:evenVBand="0" w:oddHBand="0" w:evenHBand="0" w:firstRowFirstColumn="0" w:firstRowLastColumn="0" w:lastRowFirstColumn="0" w:lastRowLastColumn="0"/>
              <w:rPr>
                <w:rFonts w:cs="Arial"/>
              </w:rPr>
            </w:pPr>
            <w:r w:rsidRPr="00EE4620">
              <w:rPr>
                <w:rFonts w:cs="Arial"/>
              </w:rPr>
              <w:t xml:space="preserve">Backbench </w:t>
            </w:r>
            <w:proofErr w:type="spellStart"/>
            <w:r w:rsidRPr="00EE4620">
              <w:rPr>
                <w:rFonts w:cs="Arial"/>
              </w:rPr>
              <w:t>Councillors</w:t>
            </w:r>
            <w:proofErr w:type="spellEnd"/>
          </w:p>
        </w:tc>
      </w:tr>
      <w:tr w:rsidR="00EE4620" w:rsidRPr="00EE4620" w14:paraId="18907AF7" w14:textId="77777777" w:rsidTr="00E5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none" w:sz="0" w:space="0" w:color="auto"/>
              <w:left w:val="none" w:sz="0" w:space="0" w:color="auto"/>
              <w:bottom w:val="none" w:sz="0" w:space="0" w:color="auto"/>
            </w:tcBorders>
          </w:tcPr>
          <w:p w14:paraId="18907AEE" w14:textId="77777777" w:rsidR="00EE4620" w:rsidRPr="00EE4620" w:rsidRDefault="00EE4620" w:rsidP="00EE4620">
            <w:pPr>
              <w:rPr>
                <w:rFonts w:cs="Arial"/>
              </w:rPr>
            </w:pPr>
          </w:p>
        </w:tc>
        <w:tc>
          <w:tcPr>
            <w:tcW w:w="896" w:type="dxa"/>
            <w:tcBorders>
              <w:top w:val="none" w:sz="0" w:space="0" w:color="auto"/>
              <w:bottom w:val="none" w:sz="0" w:space="0" w:color="auto"/>
            </w:tcBorders>
          </w:tcPr>
          <w:p w14:paraId="18907AEF" w14:textId="77777777" w:rsidR="00EE4620" w:rsidRPr="00EE4620" w:rsidRDefault="00EE4620" w:rsidP="00EE4620">
            <w:pPr>
              <w:cnfStyle w:val="000000100000" w:firstRow="0" w:lastRow="0" w:firstColumn="0" w:lastColumn="0" w:oddVBand="0" w:evenVBand="0" w:oddHBand="1" w:evenHBand="0" w:firstRowFirstColumn="0" w:firstRowLastColumn="0" w:lastRowFirstColumn="0" w:lastRowLastColumn="0"/>
              <w:rPr>
                <w:rFonts w:cs="Arial"/>
              </w:rPr>
            </w:pPr>
            <w:r w:rsidRPr="00EE4620">
              <w:rPr>
                <w:rFonts w:cs="Arial"/>
              </w:rPr>
              <w:t>2012 (937)</w:t>
            </w:r>
          </w:p>
        </w:tc>
        <w:tc>
          <w:tcPr>
            <w:tcW w:w="851" w:type="dxa"/>
            <w:tcBorders>
              <w:top w:val="none" w:sz="0" w:space="0" w:color="auto"/>
              <w:bottom w:val="none" w:sz="0" w:space="0" w:color="auto"/>
            </w:tcBorders>
          </w:tcPr>
          <w:p w14:paraId="18907AF0" w14:textId="77777777" w:rsidR="00EE4620" w:rsidRPr="00EE4620" w:rsidRDefault="00EE4620" w:rsidP="00EE4620">
            <w:pPr>
              <w:cnfStyle w:val="000000100000" w:firstRow="0" w:lastRow="0" w:firstColumn="0" w:lastColumn="0" w:oddVBand="0" w:evenVBand="0" w:oddHBand="1" w:evenHBand="0" w:firstRowFirstColumn="0" w:firstRowLastColumn="0" w:lastRowFirstColumn="0" w:lastRowLastColumn="0"/>
              <w:rPr>
                <w:rFonts w:cs="Arial"/>
                <w:b/>
              </w:rPr>
            </w:pPr>
            <w:r w:rsidRPr="00EE4620">
              <w:rPr>
                <w:rFonts w:cs="Arial"/>
                <w:b/>
              </w:rPr>
              <w:t>2013 (917)</w:t>
            </w:r>
          </w:p>
        </w:tc>
        <w:tc>
          <w:tcPr>
            <w:tcW w:w="850" w:type="dxa"/>
            <w:tcBorders>
              <w:top w:val="none" w:sz="0" w:space="0" w:color="auto"/>
              <w:bottom w:val="none" w:sz="0" w:space="0" w:color="auto"/>
            </w:tcBorders>
          </w:tcPr>
          <w:p w14:paraId="18907AF1" w14:textId="77777777" w:rsidR="00EE4620" w:rsidRPr="00EE4620" w:rsidRDefault="00EE4620" w:rsidP="00EE4620">
            <w:pPr>
              <w:cnfStyle w:val="000000100000" w:firstRow="0" w:lastRow="0" w:firstColumn="0" w:lastColumn="0" w:oddVBand="0" w:evenVBand="0" w:oddHBand="1" w:evenHBand="0" w:firstRowFirstColumn="0" w:firstRowLastColumn="0" w:lastRowFirstColumn="0" w:lastRowLastColumn="0"/>
              <w:rPr>
                <w:rFonts w:cs="Arial"/>
              </w:rPr>
            </w:pPr>
            <w:r w:rsidRPr="00EE4620">
              <w:rPr>
                <w:rFonts w:cs="Arial"/>
              </w:rPr>
              <w:t>2012 (333)</w:t>
            </w:r>
          </w:p>
        </w:tc>
        <w:tc>
          <w:tcPr>
            <w:tcW w:w="851" w:type="dxa"/>
            <w:tcBorders>
              <w:top w:val="none" w:sz="0" w:space="0" w:color="auto"/>
              <w:bottom w:val="none" w:sz="0" w:space="0" w:color="auto"/>
            </w:tcBorders>
          </w:tcPr>
          <w:p w14:paraId="18907AF2" w14:textId="77777777" w:rsidR="00EE4620" w:rsidRPr="00EE4620" w:rsidRDefault="00EE4620" w:rsidP="00EE4620">
            <w:pPr>
              <w:cnfStyle w:val="000000100000" w:firstRow="0" w:lastRow="0" w:firstColumn="0" w:lastColumn="0" w:oddVBand="0" w:evenVBand="0" w:oddHBand="1" w:evenHBand="0" w:firstRowFirstColumn="0" w:firstRowLastColumn="0" w:lastRowFirstColumn="0" w:lastRowLastColumn="0"/>
              <w:rPr>
                <w:rFonts w:cs="Arial"/>
                <w:b/>
              </w:rPr>
            </w:pPr>
            <w:r w:rsidRPr="00EE4620">
              <w:rPr>
                <w:rFonts w:cs="Arial"/>
                <w:b/>
              </w:rPr>
              <w:t>2013 (325)</w:t>
            </w:r>
          </w:p>
        </w:tc>
        <w:tc>
          <w:tcPr>
            <w:tcW w:w="993" w:type="dxa"/>
            <w:tcBorders>
              <w:top w:val="none" w:sz="0" w:space="0" w:color="auto"/>
              <w:bottom w:val="none" w:sz="0" w:space="0" w:color="auto"/>
            </w:tcBorders>
          </w:tcPr>
          <w:p w14:paraId="18907AF3" w14:textId="77777777" w:rsidR="00EE4620" w:rsidRPr="00EE4620" w:rsidRDefault="00EE4620" w:rsidP="00EE4620">
            <w:pPr>
              <w:cnfStyle w:val="000000100000" w:firstRow="0" w:lastRow="0" w:firstColumn="0" w:lastColumn="0" w:oddVBand="0" w:evenVBand="0" w:oddHBand="1" w:evenHBand="0" w:firstRowFirstColumn="0" w:firstRowLastColumn="0" w:lastRowFirstColumn="0" w:lastRowLastColumn="0"/>
              <w:rPr>
                <w:rFonts w:cs="Arial"/>
              </w:rPr>
            </w:pPr>
            <w:r w:rsidRPr="00EE4620">
              <w:rPr>
                <w:rFonts w:cs="Arial"/>
              </w:rPr>
              <w:t>2012 (293)</w:t>
            </w:r>
          </w:p>
        </w:tc>
        <w:tc>
          <w:tcPr>
            <w:tcW w:w="872" w:type="dxa"/>
            <w:tcBorders>
              <w:top w:val="none" w:sz="0" w:space="0" w:color="auto"/>
              <w:bottom w:val="none" w:sz="0" w:space="0" w:color="auto"/>
            </w:tcBorders>
          </w:tcPr>
          <w:p w14:paraId="18907AF4" w14:textId="77777777" w:rsidR="00EE4620" w:rsidRPr="00EE4620" w:rsidRDefault="00EE4620" w:rsidP="00EE4620">
            <w:pPr>
              <w:cnfStyle w:val="000000100000" w:firstRow="0" w:lastRow="0" w:firstColumn="0" w:lastColumn="0" w:oddVBand="0" w:evenVBand="0" w:oddHBand="1" w:evenHBand="0" w:firstRowFirstColumn="0" w:firstRowLastColumn="0" w:lastRowFirstColumn="0" w:lastRowLastColumn="0"/>
              <w:rPr>
                <w:rFonts w:cs="Arial"/>
                <w:b/>
              </w:rPr>
            </w:pPr>
            <w:r w:rsidRPr="00EE4620">
              <w:rPr>
                <w:rFonts w:cs="Arial"/>
                <w:b/>
              </w:rPr>
              <w:t>2013 (281)</w:t>
            </w:r>
          </w:p>
        </w:tc>
        <w:tc>
          <w:tcPr>
            <w:tcW w:w="970" w:type="dxa"/>
            <w:tcBorders>
              <w:top w:val="none" w:sz="0" w:space="0" w:color="auto"/>
              <w:bottom w:val="none" w:sz="0" w:space="0" w:color="auto"/>
            </w:tcBorders>
          </w:tcPr>
          <w:p w14:paraId="18907AF5" w14:textId="77777777" w:rsidR="00EE4620" w:rsidRPr="00EE4620" w:rsidRDefault="00EE4620" w:rsidP="00EE4620">
            <w:pPr>
              <w:cnfStyle w:val="000000100000" w:firstRow="0" w:lastRow="0" w:firstColumn="0" w:lastColumn="0" w:oddVBand="0" w:evenVBand="0" w:oddHBand="1" w:evenHBand="0" w:firstRowFirstColumn="0" w:firstRowLastColumn="0" w:lastRowFirstColumn="0" w:lastRowLastColumn="0"/>
              <w:rPr>
                <w:rFonts w:cs="Arial"/>
              </w:rPr>
            </w:pPr>
            <w:r w:rsidRPr="00EE4620">
              <w:rPr>
                <w:rFonts w:cs="Arial"/>
              </w:rPr>
              <w:t>2012 (311)</w:t>
            </w:r>
          </w:p>
        </w:tc>
        <w:tc>
          <w:tcPr>
            <w:tcW w:w="992" w:type="dxa"/>
            <w:tcBorders>
              <w:top w:val="none" w:sz="0" w:space="0" w:color="auto"/>
              <w:bottom w:val="none" w:sz="0" w:space="0" w:color="auto"/>
              <w:right w:val="none" w:sz="0" w:space="0" w:color="auto"/>
            </w:tcBorders>
          </w:tcPr>
          <w:p w14:paraId="18907AF6" w14:textId="77777777" w:rsidR="00EE4620" w:rsidRPr="00EE4620" w:rsidRDefault="00EE4620" w:rsidP="00EE4620">
            <w:pPr>
              <w:cnfStyle w:val="000000100000" w:firstRow="0" w:lastRow="0" w:firstColumn="0" w:lastColumn="0" w:oddVBand="0" w:evenVBand="0" w:oddHBand="1" w:evenHBand="0" w:firstRowFirstColumn="0" w:firstRowLastColumn="0" w:lastRowFirstColumn="0" w:lastRowLastColumn="0"/>
              <w:rPr>
                <w:rFonts w:cs="Arial"/>
                <w:b/>
              </w:rPr>
            </w:pPr>
            <w:r w:rsidRPr="00EE4620">
              <w:rPr>
                <w:rFonts w:cs="Arial"/>
                <w:b/>
              </w:rPr>
              <w:t>2013 (311)</w:t>
            </w:r>
          </w:p>
        </w:tc>
      </w:tr>
      <w:tr w:rsidR="00EE4620" w:rsidRPr="00EE4620" w14:paraId="18907B01" w14:textId="77777777" w:rsidTr="00E55451">
        <w:tc>
          <w:tcPr>
            <w:cnfStyle w:val="001000000000" w:firstRow="0" w:lastRow="0" w:firstColumn="1" w:lastColumn="0" w:oddVBand="0" w:evenVBand="0" w:oddHBand="0" w:evenHBand="0" w:firstRowFirstColumn="0" w:firstRowLastColumn="0" w:lastRowFirstColumn="0" w:lastRowLastColumn="0"/>
            <w:tcW w:w="2694" w:type="dxa"/>
          </w:tcPr>
          <w:p w14:paraId="18907AF8" w14:textId="77777777" w:rsidR="00EE4620" w:rsidRPr="00EE4620" w:rsidRDefault="00EE4620" w:rsidP="00EE4620">
            <w:pPr>
              <w:rPr>
                <w:rFonts w:cs="Arial"/>
              </w:rPr>
            </w:pPr>
            <w:r w:rsidRPr="00EE4620">
              <w:rPr>
                <w:rFonts w:cs="Arial"/>
              </w:rPr>
              <w:t>Agree the LGA address the issues that are important to councils</w:t>
            </w:r>
          </w:p>
        </w:tc>
        <w:tc>
          <w:tcPr>
            <w:tcW w:w="896" w:type="dxa"/>
          </w:tcPr>
          <w:p w14:paraId="18907AF9" w14:textId="77777777" w:rsidR="00EE4620" w:rsidRPr="00EE4620" w:rsidRDefault="00EE4620" w:rsidP="00EE4620">
            <w:pPr>
              <w:cnfStyle w:val="000000000000" w:firstRow="0" w:lastRow="0" w:firstColumn="0" w:lastColumn="0" w:oddVBand="0" w:evenVBand="0" w:oddHBand="0" w:evenHBand="0" w:firstRowFirstColumn="0" w:firstRowLastColumn="0" w:lastRowFirstColumn="0" w:lastRowLastColumn="0"/>
              <w:rPr>
                <w:rFonts w:cs="Arial"/>
              </w:rPr>
            </w:pPr>
            <w:r w:rsidRPr="00EE4620">
              <w:rPr>
                <w:rFonts w:cs="Arial"/>
              </w:rPr>
              <w:t>79%</w:t>
            </w:r>
          </w:p>
        </w:tc>
        <w:tc>
          <w:tcPr>
            <w:tcW w:w="851" w:type="dxa"/>
          </w:tcPr>
          <w:p w14:paraId="18907AFA" w14:textId="77777777" w:rsidR="00EE4620" w:rsidRPr="00EE4620" w:rsidRDefault="00EE4620" w:rsidP="00EE4620">
            <w:pPr>
              <w:cnfStyle w:val="000000000000" w:firstRow="0" w:lastRow="0" w:firstColumn="0" w:lastColumn="0" w:oddVBand="0" w:evenVBand="0" w:oddHBand="0" w:evenHBand="0" w:firstRowFirstColumn="0" w:firstRowLastColumn="0" w:lastRowFirstColumn="0" w:lastRowLastColumn="0"/>
              <w:rPr>
                <w:rFonts w:cs="Arial"/>
                <w:b/>
              </w:rPr>
            </w:pPr>
            <w:r w:rsidRPr="00EE4620">
              <w:rPr>
                <w:rFonts w:cs="Arial"/>
                <w:b/>
              </w:rPr>
              <w:t>83%</w:t>
            </w:r>
          </w:p>
        </w:tc>
        <w:tc>
          <w:tcPr>
            <w:tcW w:w="850" w:type="dxa"/>
          </w:tcPr>
          <w:p w14:paraId="18907AFB" w14:textId="77777777" w:rsidR="00EE4620" w:rsidRPr="00EE4620" w:rsidRDefault="00EE4620" w:rsidP="00EE4620">
            <w:pPr>
              <w:cnfStyle w:val="000000000000" w:firstRow="0" w:lastRow="0" w:firstColumn="0" w:lastColumn="0" w:oddVBand="0" w:evenVBand="0" w:oddHBand="0" w:evenHBand="0" w:firstRowFirstColumn="0" w:firstRowLastColumn="0" w:lastRowFirstColumn="0" w:lastRowLastColumn="0"/>
              <w:rPr>
                <w:rFonts w:cs="Arial"/>
              </w:rPr>
            </w:pPr>
            <w:r w:rsidRPr="00EE4620">
              <w:rPr>
                <w:rFonts w:cs="Arial"/>
              </w:rPr>
              <w:t>84%</w:t>
            </w:r>
          </w:p>
        </w:tc>
        <w:tc>
          <w:tcPr>
            <w:tcW w:w="851" w:type="dxa"/>
          </w:tcPr>
          <w:p w14:paraId="18907AFC" w14:textId="77777777" w:rsidR="00EE4620" w:rsidRPr="00EE4620" w:rsidRDefault="00EE4620" w:rsidP="00EE4620">
            <w:pPr>
              <w:cnfStyle w:val="000000000000" w:firstRow="0" w:lastRow="0" w:firstColumn="0" w:lastColumn="0" w:oddVBand="0" w:evenVBand="0" w:oddHBand="0" w:evenHBand="0" w:firstRowFirstColumn="0" w:firstRowLastColumn="0" w:lastRowFirstColumn="0" w:lastRowLastColumn="0"/>
              <w:rPr>
                <w:rFonts w:cs="Arial"/>
                <w:b/>
              </w:rPr>
            </w:pPr>
            <w:r w:rsidRPr="00EE4620">
              <w:rPr>
                <w:rFonts w:cs="Arial"/>
                <w:b/>
              </w:rPr>
              <w:t>87%</w:t>
            </w:r>
          </w:p>
        </w:tc>
        <w:tc>
          <w:tcPr>
            <w:tcW w:w="993" w:type="dxa"/>
          </w:tcPr>
          <w:p w14:paraId="18907AFD" w14:textId="77777777" w:rsidR="00EE4620" w:rsidRPr="00EE4620" w:rsidRDefault="00EE4620" w:rsidP="00EE4620">
            <w:pPr>
              <w:cnfStyle w:val="000000000000" w:firstRow="0" w:lastRow="0" w:firstColumn="0" w:lastColumn="0" w:oddVBand="0" w:evenVBand="0" w:oddHBand="0" w:evenHBand="0" w:firstRowFirstColumn="0" w:firstRowLastColumn="0" w:lastRowFirstColumn="0" w:lastRowLastColumn="0"/>
              <w:rPr>
                <w:rFonts w:cs="Arial"/>
              </w:rPr>
            </w:pPr>
            <w:r w:rsidRPr="00EE4620">
              <w:rPr>
                <w:rFonts w:cs="Arial"/>
              </w:rPr>
              <w:t>77%</w:t>
            </w:r>
          </w:p>
        </w:tc>
        <w:tc>
          <w:tcPr>
            <w:tcW w:w="872" w:type="dxa"/>
          </w:tcPr>
          <w:p w14:paraId="18907AFE" w14:textId="77777777" w:rsidR="00EE4620" w:rsidRPr="00EE4620" w:rsidRDefault="00EE4620" w:rsidP="00EE4620">
            <w:pPr>
              <w:cnfStyle w:val="000000000000" w:firstRow="0" w:lastRow="0" w:firstColumn="0" w:lastColumn="0" w:oddVBand="0" w:evenVBand="0" w:oddHBand="0" w:evenHBand="0" w:firstRowFirstColumn="0" w:firstRowLastColumn="0" w:lastRowFirstColumn="0" w:lastRowLastColumn="0"/>
              <w:rPr>
                <w:rFonts w:cs="Arial"/>
                <w:b/>
              </w:rPr>
            </w:pPr>
            <w:r w:rsidRPr="00EE4620">
              <w:rPr>
                <w:rFonts w:cs="Arial"/>
                <w:b/>
              </w:rPr>
              <w:t>81%</w:t>
            </w:r>
          </w:p>
        </w:tc>
        <w:tc>
          <w:tcPr>
            <w:tcW w:w="970" w:type="dxa"/>
          </w:tcPr>
          <w:p w14:paraId="18907AFF" w14:textId="77777777" w:rsidR="00EE4620" w:rsidRPr="00EE4620" w:rsidRDefault="00EE4620" w:rsidP="00EE4620">
            <w:pPr>
              <w:cnfStyle w:val="000000000000" w:firstRow="0" w:lastRow="0" w:firstColumn="0" w:lastColumn="0" w:oddVBand="0" w:evenVBand="0" w:oddHBand="0" w:evenHBand="0" w:firstRowFirstColumn="0" w:firstRowLastColumn="0" w:lastRowFirstColumn="0" w:lastRowLastColumn="0"/>
              <w:rPr>
                <w:rFonts w:cs="Arial"/>
              </w:rPr>
            </w:pPr>
            <w:r w:rsidRPr="00EE4620">
              <w:rPr>
                <w:rFonts w:cs="Arial"/>
              </w:rPr>
              <w:t>72%</w:t>
            </w:r>
          </w:p>
        </w:tc>
        <w:tc>
          <w:tcPr>
            <w:tcW w:w="992" w:type="dxa"/>
          </w:tcPr>
          <w:p w14:paraId="18907B00" w14:textId="77777777" w:rsidR="00EE4620" w:rsidRPr="00EE4620" w:rsidRDefault="00EE4620" w:rsidP="00EE4620">
            <w:pPr>
              <w:cnfStyle w:val="000000000000" w:firstRow="0" w:lastRow="0" w:firstColumn="0" w:lastColumn="0" w:oddVBand="0" w:evenVBand="0" w:oddHBand="0" w:evenHBand="0" w:firstRowFirstColumn="0" w:firstRowLastColumn="0" w:lastRowFirstColumn="0" w:lastRowLastColumn="0"/>
              <w:rPr>
                <w:rFonts w:cs="Arial"/>
                <w:b/>
              </w:rPr>
            </w:pPr>
            <w:r w:rsidRPr="00EE4620">
              <w:rPr>
                <w:rFonts w:cs="Arial"/>
                <w:b/>
              </w:rPr>
              <w:t>81%</w:t>
            </w:r>
          </w:p>
        </w:tc>
      </w:tr>
      <w:tr w:rsidR="00EE4620" w:rsidRPr="00EE4620" w14:paraId="18907B0B" w14:textId="77777777" w:rsidTr="00E5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none" w:sz="0" w:space="0" w:color="auto"/>
              <w:left w:val="none" w:sz="0" w:space="0" w:color="auto"/>
              <w:bottom w:val="none" w:sz="0" w:space="0" w:color="auto"/>
            </w:tcBorders>
          </w:tcPr>
          <w:p w14:paraId="18907B02" w14:textId="77777777" w:rsidR="00EE4620" w:rsidRPr="00EE4620" w:rsidRDefault="00EE4620" w:rsidP="00EE4620">
            <w:pPr>
              <w:rPr>
                <w:rFonts w:cs="Arial"/>
              </w:rPr>
            </w:pPr>
            <w:r w:rsidRPr="00EE4620">
              <w:rPr>
                <w:rFonts w:cs="Arial"/>
              </w:rPr>
              <w:t xml:space="preserve">Agree the LGA understands what councils need to help improve their service and </w:t>
            </w:r>
            <w:proofErr w:type="spellStart"/>
            <w:r w:rsidRPr="00EE4620">
              <w:rPr>
                <w:rFonts w:cs="Arial"/>
              </w:rPr>
              <w:t>organisational</w:t>
            </w:r>
            <w:proofErr w:type="spellEnd"/>
            <w:r w:rsidRPr="00EE4620">
              <w:rPr>
                <w:rFonts w:cs="Arial"/>
              </w:rPr>
              <w:t xml:space="preserve"> capacity</w:t>
            </w:r>
          </w:p>
        </w:tc>
        <w:tc>
          <w:tcPr>
            <w:tcW w:w="896" w:type="dxa"/>
            <w:tcBorders>
              <w:top w:val="none" w:sz="0" w:space="0" w:color="auto"/>
              <w:bottom w:val="none" w:sz="0" w:space="0" w:color="auto"/>
            </w:tcBorders>
          </w:tcPr>
          <w:p w14:paraId="18907B03" w14:textId="77777777" w:rsidR="00EE4620" w:rsidRPr="00EE4620" w:rsidRDefault="00EE4620" w:rsidP="00EE4620">
            <w:pPr>
              <w:cnfStyle w:val="000000100000" w:firstRow="0" w:lastRow="0" w:firstColumn="0" w:lastColumn="0" w:oddVBand="0" w:evenVBand="0" w:oddHBand="1" w:evenHBand="0" w:firstRowFirstColumn="0" w:firstRowLastColumn="0" w:lastRowFirstColumn="0" w:lastRowLastColumn="0"/>
              <w:rPr>
                <w:rFonts w:cs="Arial"/>
              </w:rPr>
            </w:pPr>
            <w:r w:rsidRPr="00EE4620">
              <w:rPr>
                <w:rFonts w:cs="Arial"/>
              </w:rPr>
              <w:t>68%</w:t>
            </w:r>
          </w:p>
        </w:tc>
        <w:tc>
          <w:tcPr>
            <w:tcW w:w="851" w:type="dxa"/>
            <w:tcBorders>
              <w:top w:val="none" w:sz="0" w:space="0" w:color="auto"/>
              <w:bottom w:val="none" w:sz="0" w:space="0" w:color="auto"/>
            </w:tcBorders>
          </w:tcPr>
          <w:p w14:paraId="18907B04" w14:textId="77777777" w:rsidR="00EE4620" w:rsidRPr="00EE4620" w:rsidRDefault="00EE4620" w:rsidP="00EE4620">
            <w:pPr>
              <w:cnfStyle w:val="000000100000" w:firstRow="0" w:lastRow="0" w:firstColumn="0" w:lastColumn="0" w:oddVBand="0" w:evenVBand="0" w:oddHBand="1" w:evenHBand="0" w:firstRowFirstColumn="0" w:firstRowLastColumn="0" w:lastRowFirstColumn="0" w:lastRowLastColumn="0"/>
              <w:rPr>
                <w:rFonts w:cs="Arial"/>
                <w:b/>
              </w:rPr>
            </w:pPr>
            <w:r w:rsidRPr="00EE4620">
              <w:rPr>
                <w:rFonts w:cs="Arial"/>
                <w:b/>
              </w:rPr>
              <w:t>77%</w:t>
            </w:r>
          </w:p>
        </w:tc>
        <w:tc>
          <w:tcPr>
            <w:tcW w:w="850" w:type="dxa"/>
            <w:tcBorders>
              <w:top w:val="none" w:sz="0" w:space="0" w:color="auto"/>
              <w:bottom w:val="none" w:sz="0" w:space="0" w:color="auto"/>
            </w:tcBorders>
          </w:tcPr>
          <w:p w14:paraId="18907B05" w14:textId="77777777" w:rsidR="00EE4620" w:rsidRPr="00EE4620" w:rsidRDefault="00EE4620" w:rsidP="00EE4620">
            <w:pPr>
              <w:cnfStyle w:val="000000100000" w:firstRow="0" w:lastRow="0" w:firstColumn="0" w:lastColumn="0" w:oddVBand="0" w:evenVBand="0" w:oddHBand="1" w:evenHBand="0" w:firstRowFirstColumn="0" w:firstRowLastColumn="0" w:lastRowFirstColumn="0" w:lastRowLastColumn="0"/>
              <w:rPr>
                <w:rFonts w:cs="Arial"/>
              </w:rPr>
            </w:pPr>
            <w:r w:rsidRPr="00EE4620">
              <w:rPr>
                <w:rFonts w:cs="Arial"/>
              </w:rPr>
              <w:t>71%</w:t>
            </w:r>
          </w:p>
        </w:tc>
        <w:tc>
          <w:tcPr>
            <w:tcW w:w="851" w:type="dxa"/>
            <w:tcBorders>
              <w:top w:val="none" w:sz="0" w:space="0" w:color="auto"/>
              <w:bottom w:val="none" w:sz="0" w:space="0" w:color="auto"/>
            </w:tcBorders>
          </w:tcPr>
          <w:p w14:paraId="18907B06" w14:textId="77777777" w:rsidR="00EE4620" w:rsidRPr="00EE4620" w:rsidRDefault="00EE4620" w:rsidP="00EE4620">
            <w:pPr>
              <w:cnfStyle w:val="000000100000" w:firstRow="0" w:lastRow="0" w:firstColumn="0" w:lastColumn="0" w:oddVBand="0" w:evenVBand="0" w:oddHBand="1" w:evenHBand="0" w:firstRowFirstColumn="0" w:firstRowLastColumn="0" w:lastRowFirstColumn="0" w:lastRowLastColumn="0"/>
              <w:rPr>
                <w:rFonts w:cs="Arial"/>
                <w:b/>
              </w:rPr>
            </w:pPr>
            <w:r w:rsidRPr="00EE4620">
              <w:rPr>
                <w:rFonts w:cs="Arial"/>
                <w:b/>
              </w:rPr>
              <w:t>78%</w:t>
            </w:r>
          </w:p>
        </w:tc>
        <w:tc>
          <w:tcPr>
            <w:tcW w:w="993" w:type="dxa"/>
            <w:tcBorders>
              <w:top w:val="none" w:sz="0" w:space="0" w:color="auto"/>
              <w:bottom w:val="none" w:sz="0" w:space="0" w:color="auto"/>
            </w:tcBorders>
          </w:tcPr>
          <w:p w14:paraId="18907B07" w14:textId="77777777" w:rsidR="00EE4620" w:rsidRPr="00EE4620" w:rsidRDefault="00EE4620" w:rsidP="00EE4620">
            <w:pPr>
              <w:cnfStyle w:val="000000100000" w:firstRow="0" w:lastRow="0" w:firstColumn="0" w:lastColumn="0" w:oddVBand="0" w:evenVBand="0" w:oddHBand="1" w:evenHBand="0" w:firstRowFirstColumn="0" w:firstRowLastColumn="0" w:lastRowFirstColumn="0" w:lastRowLastColumn="0"/>
              <w:rPr>
                <w:rFonts w:cs="Arial"/>
              </w:rPr>
            </w:pPr>
            <w:r w:rsidRPr="00EE4620">
              <w:rPr>
                <w:rFonts w:cs="Arial"/>
              </w:rPr>
              <w:t>70%</w:t>
            </w:r>
          </w:p>
        </w:tc>
        <w:tc>
          <w:tcPr>
            <w:tcW w:w="872" w:type="dxa"/>
            <w:tcBorders>
              <w:top w:val="none" w:sz="0" w:space="0" w:color="auto"/>
              <w:bottom w:val="none" w:sz="0" w:space="0" w:color="auto"/>
            </w:tcBorders>
          </w:tcPr>
          <w:p w14:paraId="18907B08" w14:textId="77777777" w:rsidR="00EE4620" w:rsidRPr="00EE4620" w:rsidRDefault="00EE4620" w:rsidP="00EE4620">
            <w:pPr>
              <w:cnfStyle w:val="000000100000" w:firstRow="0" w:lastRow="0" w:firstColumn="0" w:lastColumn="0" w:oddVBand="0" w:evenVBand="0" w:oddHBand="1" w:evenHBand="0" w:firstRowFirstColumn="0" w:firstRowLastColumn="0" w:lastRowFirstColumn="0" w:lastRowLastColumn="0"/>
              <w:rPr>
                <w:rFonts w:cs="Arial"/>
                <w:b/>
              </w:rPr>
            </w:pPr>
            <w:r w:rsidRPr="00EE4620">
              <w:rPr>
                <w:rFonts w:cs="Arial"/>
                <w:b/>
              </w:rPr>
              <w:t>79%</w:t>
            </w:r>
          </w:p>
        </w:tc>
        <w:tc>
          <w:tcPr>
            <w:tcW w:w="970" w:type="dxa"/>
            <w:tcBorders>
              <w:top w:val="none" w:sz="0" w:space="0" w:color="auto"/>
              <w:bottom w:val="none" w:sz="0" w:space="0" w:color="auto"/>
            </w:tcBorders>
          </w:tcPr>
          <w:p w14:paraId="18907B09" w14:textId="77777777" w:rsidR="00EE4620" w:rsidRPr="00EE4620" w:rsidRDefault="00EE4620" w:rsidP="00EE4620">
            <w:pPr>
              <w:cnfStyle w:val="000000100000" w:firstRow="0" w:lastRow="0" w:firstColumn="0" w:lastColumn="0" w:oddVBand="0" w:evenVBand="0" w:oddHBand="1" w:evenHBand="0" w:firstRowFirstColumn="0" w:firstRowLastColumn="0" w:lastRowFirstColumn="0" w:lastRowLastColumn="0"/>
              <w:rPr>
                <w:rFonts w:cs="Arial"/>
              </w:rPr>
            </w:pPr>
            <w:r w:rsidRPr="00EE4620">
              <w:rPr>
                <w:rFonts w:cs="Arial"/>
              </w:rPr>
              <w:t>65%</w:t>
            </w:r>
          </w:p>
        </w:tc>
        <w:tc>
          <w:tcPr>
            <w:tcW w:w="992" w:type="dxa"/>
            <w:tcBorders>
              <w:top w:val="none" w:sz="0" w:space="0" w:color="auto"/>
              <w:bottom w:val="none" w:sz="0" w:space="0" w:color="auto"/>
              <w:right w:val="none" w:sz="0" w:space="0" w:color="auto"/>
            </w:tcBorders>
          </w:tcPr>
          <w:p w14:paraId="18907B0A" w14:textId="77777777" w:rsidR="00EE4620" w:rsidRPr="00EE4620" w:rsidRDefault="00EE4620" w:rsidP="00EE4620">
            <w:pPr>
              <w:cnfStyle w:val="000000100000" w:firstRow="0" w:lastRow="0" w:firstColumn="0" w:lastColumn="0" w:oddVBand="0" w:evenVBand="0" w:oddHBand="1" w:evenHBand="0" w:firstRowFirstColumn="0" w:firstRowLastColumn="0" w:lastRowFirstColumn="0" w:lastRowLastColumn="0"/>
              <w:rPr>
                <w:rFonts w:cs="Arial"/>
                <w:b/>
              </w:rPr>
            </w:pPr>
            <w:r w:rsidRPr="00EE4620">
              <w:rPr>
                <w:rFonts w:cs="Arial"/>
                <w:b/>
              </w:rPr>
              <w:t>72%</w:t>
            </w:r>
          </w:p>
        </w:tc>
      </w:tr>
      <w:tr w:rsidR="00EE4620" w:rsidRPr="00EE4620" w14:paraId="18907B15" w14:textId="77777777" w:rsidTr="00E55451">
        <w:tc>
          <w:tcPr>
            <w:cnfStyle w:val="001000000000" w:firstRow="0" w:lastRow="0" w:firstColumn="1" w:lastColumn="0" w:oddVBand="0" w:evenVBand="0" w:oddHBand="0" w:evenHBand="0" w:firstRowFirstColumn="0" w:firstRowLastColumn="0" w:lastRowFirstColumn="0" w:lastRowLastColumn="0"/>
            <w:tcW w:w="2694" w:type="dxa"/>
            <w:vAlign w:val="top"/>
          </w:tcPr>
          <w:p w14:paraId="18907B0C" w14:textId="77777777" w:rsidR="00EE4620" w:rsidRPr="00EE4620" w:rsidRDefault="00EE4620" w:rsidP="00EE4620">
            <w:pPr>
              <w:rPr>
                <w:rFonts w:cs="Arial"/>
              </w:rPr>
            </w:pPr>
            <w:r w:rsidRPr="00EE4620">
              <w:rPr>
                <w:rFonts w:cs="Arial"/>
              </w:rPr>
              <w:t>Agree the LGA demonstrates value for money for the funding it receives</w:t>
            </w:r>
          </w:p>
        </w:tc>
        <w:tc>
          <w:tcPr>
            <w:tcW w:w="896" w:type="dxa"/>
          </w:tcPr>
          <w:p w14:paraId="18907B0D" w14:textId="77777777" w:rsidR="00EE4620" w:rsidRPr="00EE4620" w:rsidRDefault="00EE4620" w:rsidP="00EE4620">
            <w:pPr>
              <w:cnfStyle w:val="000000000000" w:firstRow="0" w:lastRow="0" w:firstColumn="0" w:lastColumn="0" w:oddVBand="0" w:evenVBand="0" w:oddHBand="0" w:evenHBand="0" w:firstRowFirstColumn="0" w:firstRowLastColumn="0" w:lastRowFirstColumn="0" w:lastRowLastColumn="0"/>
              <w:rPr>
                <w:rFonts w:cs="Arial"/>
              </w:rPr>
            </w:pPr>
            <w:r w:rsidRPr="00EE4620">
              <w:rPr>
                <w:rFonts w:cs="Arial"/>
              </w:rPr>
              <w:t>43%</w:t>
            </w:r>
          </w:p>
        </w:tc>
        <w:tc>
          <w:tcPr>
            <w:tcW w:w="851" w:type="dxa"/>
          </w:tcPr>
          <w:p w14:paraId="18907B0E" w14:textId="77777777" w:rsidR="00EE4620" w:rsidRPr="00EE4620" w:rsidRDefault="00EE4620" w:rsidP="00EE4620">
            <w:pPr>
              <w:cnfStyle w:val="000000000000" w:firstRow="0" w:lastRow="0" w:firstColumn="0" w:lastColumn="0" w:oddVBand="0" w:evenVBand="0" w:oddHBand="0" w:evenHBand="0" w:firstRowFirstColumn="0" w:firstRowLastColumn="0" w:lastRowFirstColumn="0" w:lastRowLastColumn="0"/>
              <w:rPr>
                <w:rFonts w:cs="Arial"/>
                <w:b/>
              </w:rPr>
            </w:pPr>
            <w:r w:rsidRPr="00EE4620">
              <w:rPr>
                <w:rFonts w:cs="Arial"/>
                <w:b/>
              </w:rPr>
              <w:t>53%</w:t>
            </w:r>
          </w:p>
        </w:tc>
        <w:tc>
          <w:tcPr>
            <w:tcW w:w="850" w:type="dxa"/>
          </w:tcPr>
          <w:p w14:paraId="18907B0F" w14:textId="77777777" w:rsidR="00EE4620" w:rsidRPr="00EE4620" w:rsidRDefault="00EE4620" w:rsidP="00EE4620">
            <w:pPr>
              <w:cnfStyle w:val="000000000000" w:firstRow="0" w:lastRow="0" w:firstColumn="0" w:lastColumn="0" w:oddVBand="0" w:evenVBand="0" w:oddHBand="0" w:evenHBand="0" w:firstRowFirstColumn="0" w:firstRowLastColumn="0" w:lastRowFirstColumn="0" w:lastRowLastColumn="0"/>
              <w:rPr>
                <w:rFonts w:cs="Arial"/>
              </w:rPr>
            </w:pPr>
            <w:r w:rsidRPr="00EE4620">
              <w:rPr>
                <w:rFonts w:cs="Arial"/>
              </w:rPr>
              <w:t>39%</w:t>
            </w:r>
          </w:p>
        </w:tc>
        <w:tc>
          <w:tcPr>
            <w:tcW w:w="851" w:type="dxa"/>
          </w:tcPr>
          <w:p w14:paraId="18907B10" w14:textId="77777777" w:rsidR="00EE4620" w:rsidRPr="00EE4620" w:rsidRDefault="00EE4620" w:rsidP="00EE4620">
            <w:pPr>
              <w:cnfStyle w:val="000000000000" w:firstRow="0" w:lastRow="0" w:firstColumn="0" w:lastColumn="0" w:oddVBand="0" w:evenVBand="0" w:oddHBand="0" w:evenHBand="0" w:firstRowFirstColumn="0" w:firstRowLastColumn="0" w:lastRowFirstColumn="0" w:lastRowLastColumn="0"/>
              <w:rPr>
                <w:rFonts w:cs="Arial"/>
                <w:b/>
              </w:rPr>
            </w:pPr>
            <w:r w:rsidRPr="00EE4620">
              <w:rPr>
                <w:rFonts w:cs="Arial"/>
                <w:b/>
              </w:rPr>
              <w:t>53%</w:t>
            </w:r>
          </w:p>
        </w:tc>
        <w:tc>
          <w:tcPr>
            <w:tcW w:w="993" w:type="dxa"/>
          </w:tcPr>
          <w:p w14:paraId="18907B11" w14:textId="77777777" w:rsidR="00EE4620" w:rsidRPr="00EE4620" w:rsidRDefault="00EE4620" w:rsidP="00EE4620">
            <w:pPr>
              <w:cnfStyle w:val="000000000000" w:firstRow="0" w:lastRow="0" w:firstColumn="0" w:lastColumn="0" w:oddVBand="0" w:evenVBand="0" w:oddHBand="0" w:evenHBand="0" w:firstRowFirstColumn="0" w:firstRowLastColumn="0" w:lastRowFirstColumn="0" w:lastRowLastColumn="0"/>
              <w:rPr>
                <w:rFonts w:cs="Arial"/>
              </w:rPr>
            </w:pPr>
            <w:r w:rsidRPr="00EE4620">
              <w:rPr>
                <w:rFonts w:cs="Arial"/>
              </w:rPr>
              <w:t>47%</w:t>
            </w:r>
          </w:p>
        </w:tc>
        <w:tc>
          <w:tcPr>
            <w:tcW w:w="872" w:type="dxa"/>
          </w:tcPr>
          <w:p w14:paraId="18907B12" w14:textId="77777777" w:rsidR="00EE4620" w:rsidRPr="00EE4620" w:rsidRDefault="00EE4620" w:rsidP="00EE4620">
            <w:pPr>
              <w:cnfStyle w:val="000000000000" w:firstRow="0" w:lastRow="0" w:firstColumn="0" w:lastColumn="0" w:oddVBand="0" w:evenVBand="0" w:oddHBand="0" w:evenHBand="0" w:firstRowFirstColumn="0" w:firstRowLastColumn="0" w:lastRowFirstColumn="0" w:lastRowLastColumn="0"/>
              <w:rPr>
                <w:rFonts w:cs="Arial"/>
                <w:b/>
              </w:rPr>
            </w:pPr>
            <w:r w:rsidRPr="00EE4620">
              <w:rPr>
                <w:rFonts w:cs="Arial"/>
                <w:b/>
              </w:rPr>
              <w:t>55%</w:t>
            </w:r>
          </w:p>
        </w:tc>
        <w:tc>
          <w:tcPr>
            <w:tcW w:w="970" w:type="dxa"/>
          </w:tcPr>
          <w:p w14:paraId="18907B13" w14:textId="77777777" w:rsidR="00EE4620" w:rsidRPr="00EE4620" w:rsidRDefault="00EE4620" w:rsidP="00EE4620">
            <w:pPr>
              <w:cnfStyle w:val="000000000000" w:firstRow="0" w:lastRow="0" w:firstColumn="0" w:lastColumn="0" w:oddVBand="0" w:evenVBand="0" w:oddHBand="0" w:evenHBand="0" w:firstRowFirstColumn="0" w:firstRowLastColumn="0" w:lastRowFirstColumn="0" w:lastRowLastColumn="0"/>
              <w:rPr>
                <w:rFonts w:cs="Arial"/>
              </w:rPr>
            </w:pPr>
            <w:r w:rsidRPr="00EE4620">
              <w:rPr>
                <w:rFonts w:cs="Arial"/>
              </w:rPr>
              <w:t>44%</w:t>
            </w:r>
          </w:p>
        </w:tc>
        <w:tc>
          <w:tcPr>
            <w:tcW w:w="992" w:type="dxa"/>
          </w:tcPr>
          <w:p w14:paraId="18907B14" w14:textId="77777777" w:rsidR="00EE4620" w:rsidRPr="00EE4620" w:rsidRDefault="00EE4620" w:rsidP="00EE4620">
            <w:pPr>
              <w:cnfStyle w:val="000000000000" w:firstRow="0" w:lastRow="0" w:firstColumn="0" w:lastColumn="0" w:oddVBand="0" w:evenVBand="0" w:oddHBand="0" w:evenHBand="0" w:firstRowFirstColumn="0" w:firstRowLastColumn="0" w:lastRowFirstColumn="0" w:lastRowLastColumn="0"/>
              <w:rPr>
                <w:rFonts w:cs="Arial"/>
                <w:b/>
              </w:rPr>
            </w:pPr>
            <w:r w:rsidRPr="00EE4620">
              <w:rPr>
                <w:rFonts w:cs="Arial"/>
                <w:b/>
              </w:rPr>
              <w:t>50%</w:t>
            </w:r>
          </w:p>
        </w:tc>
      </w:tr>
      <w:tr w:rsidR="00EE4620" w:rsidRPr="00EE4620" w14:paraId="18907B1F" w14:textId="77777777" w:rsidTr="00E5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none" w:sz="0" w:space="0" w:color="auto"/>
              <w:left w:val="none" w:sz="0" w:space="0" w:color="auto"/>
              <w:bottom w:val="none" w:sz="0" w:space="0" w:color="auto"/>
            </w:tcBorders>
            <w:vAlign w:val="top"/>
          </w:tcPr>
          <w:p w14:paraId="18907B16" w14:textId="77777777" w:rsidR="00EE4620" w:rsidRPr="00EE4620" w:rsidRDefault="00EE4620" w:rsidP="00EE4620">
            <w:pPr>
              <w:rPr>
                <w:rFonts w:cs="Arial"/>
              </w:rPr>
            </w:pPr>
            <w:r w:rsidRPr="00EE4620">
              <w:rPr>
                <w:rFonts w:cs="Arial"/>
              </w:rPr>
              <w:t>Agree the LGA is influential in shaping the agenda for local government</w:t>
            </w:r>
          </w:p>
        </w:tc>
        <w:tc>
          <w:tcPr>
            <w:tcW w:w="896" w:type="dxa"/>
            <w:tcBorders>
              <w:top w:val="none" w:sz="0" w:space="0" w:color="auto"/>
              <w:bottom w:val="none" w:sz="0" w:space="0" w:color="auto"/>
            </w:tcBorders>
          </w:tcPr>
          <w:p w14:paraId="18907B17" w14:textId="77777777" w:rsidR="00EE4620" w:rsidRPr="00EE4620" w:rsidRDefault="00EE4620" w:rsidP="00EE4620">
            <w:pPr>
              <w:cnfStyle w:val="000000100000" w:firstRow="0" w:lastRow="0" w:firstColumn="0" w:lastColumn="0" w:oddVBand="0" w:evenVBand="0" w:oddHBand="1" w:evenHBand="0" w:firstRowFirstColumn="0" w:firstRowLastColumn="0" w:lastRowFirstColumn="0" w:lastRowLastColumn="0"/>
              <w:rPr>
                <w:rFonts w:cs="Arial"/>
              </w:rPr>
            </w:pPr>
            <w:r w:rsidRPr="00EE4620">
              <w:rPr>
                <w:rFonts w:cs="Arial"/>
              </w:rPr>
              <w:t>62%</w:t>
            </w:r>
          </w:p>
        </w:tc>
        <w:tc>
          <w:tcPr>
            <w:tcW w:w="851" w:type="dxa"/>
            <w:tcBorders>
              <w:top w:val="none" w:sz="0" w:space="0" w:color="auto"/>
              <w:bottom w:val="none" w:sz="0" w:space="0" w:color="auto"/>
            </w:tcBorders>
          </w:tcPr>
          <w:p w14:paraId="18907B18" w14:textId="77777777" w:rsidR="00EE4620" w:rsidRPr="00EE4620" w:rsidRDefault="00EE4620" w:rsidP="00EE4620">
            <w:pPr>
              <w:cnfStyle w:val="000000100000" w:firstRow="0" w:lastRow="0" w:firstColumn="0" w:lastColumn="0" w:oddVBand="0" w:evenVBand="0" w:oddHBand="1" w:evenHBand="0" w:firstRowFirstColumn="0" w:firstRowLastColumn="0" w:lastRowFirstColumn="0" w:lastRowLastColumn="0"/>
              <w:rPr>
                <w:rFonts w:cs="Arial"/>
                <w:b/>
              </w:rPr>
            </w:pPr>
            <w:r w:rsidRPr="00EE4620">
              <w:rPr>
                <w:rFonts w:cs="Arial"/>
                <w:b/>
              </w:rPr>
              <w:t>68%</w:t>
            </w:r>
          </w:p>
        </w:tc>
        <w:tc>
          <w:tcPr>
            <w:tcW w:w="850" w:type="dxa"/>
            <w:tcBorders>
              <w:top w:val="none" w:sz="0" w:space="0" w:color="auto"/>
              <w:bottom w:val="none" w:sz="0" w:space="0" w:color="auto"/>
            </w:tcBorders>
          </w:tcPr>
          <w:p w14:paraId="18907B19" w14:textId="77777777" w:rsidR="00EE4620" w:rsidRPr="00EE4620" w:rsidRDefault="00EE4620" w:rsidP="00EE4620">
            <w:pPr>
              <w:cnfStyle w:val="000000100000" w:firstRow="0" w:lastRow="0" w:firstColumn="0" w:lastColumn="0" w:oddVBand="0" w:evenVBand="0" w:oddHBand="1" w:evenHBand="0" w:firstRowFirstColumn="0" w:firstRowLastColumn="0" w:lastRowFirstColumn="0" w:lastRowLastColumn="0"/>
              <w:rPr>
                <w:rFonts w:cs="Arial"/>
              </w:rPr>
            </w:pPr>
            <w:r w:rsidRPr="00EE4620">
              <w:rPr>
                <w:rFonts w:cs="Arial"/>
              </w:rPr>
              <w:t>66%</w:t>
            </w:r>
          </w:p>
        </w:tc>
        <w:tc>
          <w:tcPr>
            <w:tcW w:w="851" w:type="dxa"/>
            <w:tcBorders>
              <w:top w:val="none" w:sz="0" w:space="0" w:color="auto"/>
              <w:bottom w:val="none" w:sz="0" w:space="0" w:color="auto"/>
            </w:tcBorders>
          </w:tcPr>
          <w:p w14:paraId="18907B1A" w14:textId="77777777" w:rsidR="00EE4620" w:rsidRPr="00EE4620" w:rsidRDefault="00EE4620" w:rsidP="00EE4620">
            <w:pPr>
              <w:cnfStyle w:val="000000100000" w:firstRow="0" w:lastRow="0" w:firstColumn="0" w:lastColumn="0" w:oddVBand="0" w:evenVBand="0" w:oddHBand="1" w:evenHBand="0" w:firstRowFirstColumn="0" w:firstRowLastColumn="0" w:lastRowFirstColumn="0" w:lastRowLastColumn="0"/>
              <w:rPr>
                <w:rFonts w:cs="Arial"/>
                <w:b/>
              </w:rPr>
            </w:pPr>
            <w:r w:rsidRPr="00EE4620">
              <w:rPr>
                <w:rFonts w:cs="Arial"/>
                <w:b/>
              </w:rPr>
              <w:t>70%</w:t>
            </w:r>
          </w:p>
        </w:tc>
        <w:tc>
          <w:tcPr>
            <w:tcW w:w="993" w:type="dxa"/>
            <w:tcBorders>
              <w:top w:val="none" w:sz="0" w:space="0" w:color="auto"/>
              <w:bottom w:val="none" w:sz="0" w:space="0" w:color="auto"/>
            </w:tcBorders>
          </w:tcPr>
          <w:p w14:paraId="18907B1B" w14:textId="77777777" w:rsidR="00EE4620" w:rsidRPr="00EE4620" w:rsidRDefault="00EE4620" w:rsidP="00EE4620">
            <w:pPr>
              <w:cnfStyle w:val="000000100000" w:firstRow="0" w:lastRow="0" w:firstColumn="0" w:lastColumn="0" w:oddVBand="0" w:evenVBand="0" w:oddHBand="1" w:evenHBand="0" w:firstRowFirstColumn="0" w:firstRowLastColumn="0" w:lastRowFirstColumn="0" w:lastRowLastColumn="0"/>
              <w:rPr>
                <w:rFonts w:cs="Arial"/>
              </w:rPr>
            </w:pPr>
            <w:r w:rsidRPr="00EE4620">
              <w:rPr>
                <w:rFonts w:cs="Arial"/>
              </w:rPr>
              <w:t>61%</w:t>
            </w:r>
          </w:p>
        </w:tc>
        <w:tc>
          <w:tcPr>
            <w:tcW w:w="872" w:type="dxa"/>
            <w:tcBorders>
              <w:top w:val="none" w:sz="0" w:space="0" w:color="auto"/>
              <w:bottom w:val="none" w:sz="0" w:space="0" w:color="auto"/>
            </w:tcBorders>
          </w:tcPr>
          <w:p w14:paraId="18907B1C" w14:textId="77777777" w:rsidR="00EE4620" w:rsidRPr="00EE4620" w:rsidRDefault="00EE4620" w:rsidP="00EE4620">
            <w:pPr>
              <w:cnfStyle w:val="000000100000" w:firstRow="0" w:lastRow="0" w:firstColumn="0" w:lastColumn="0" w:oddVBand="0" w:evenVBand="0" w:oddHBand="1" w:evenHBand="0" w:firstRowFirstColumn="0" w:firstRowLastColumn="0" w:lastRowFirstColumn="0" w:lastRowLastColumn="0"/>
              <w:rPr>
                <w:rFonts w:cs="Arial"/>
                <w:b/>
              </w:rPr>
            </w:pPr>
            <w:r w:rsidRPr="00EE4620">
              <w:rPr>
                <w:rFonts w:cs="Arial"/>
                <w:b/>
              </w:rPr>
              <w:t>69%</w:t>
            </w:r>
          </w:p>
        </w:tc>
        <w:tc>
          <w:tcPr>
            <w:tcW w:w="970" w:type="dxa"/>
            <w:tcBorders>
              <w:top w:val="none" w:sz="0" w:space="0" w:color="auto"/>
              <w:bottom w:val="none" w:sz="0" w:space="0" w:color="auto"/>
            </w:tcBorders>
          </w:tcPr>
          <w:p w14:paraId="18907B1D" w14:textId="77777777" w:rsidR="00EE4620" w:rsidRPr="00EE4620" w:rsidRDefault="00EE4620" w:rsidP="00EE4620">
            <w:pPr>
              <w:cnfStyle w:val="000000100000" w:firstRow="0" w:lastRow="0" w:firstColumn="0" w:lastColumn="0" w:oddVBand="0" w:evenVBand="0" w:oddHBand="1" w:evenHBand="0" w:firstRowFirstColumn="0" w:firstRowLastColumn="0" w:lastRowFirstColumn="0" w:lastRowLastColumn="0"/>
              <w:rPr>
                <w:rFonts w:cs="Arial"/>
              </w:rPr>
            </w:pPr>
            <w:r w:rsidRPr="00EE4620">
              <w:rPr>
                <w:rFonts w:cs="Arial"/>
              </w:rPr>
              <w:t>59%</w:t>
            </w:r>
          </w:p>
        </w:tc>
        <w:tc>
          <w:tcPr>
            <w:tcW w:w="992" w:type="dxa"/>
            <w:tcBorders>
              <w:top w:val="none" w:sz="0" w:space="0" w:color="auto"/>
              <w:bottom w:val="none" w:sz="0" w:space="0" w:color="auto"/>
              <w:right w:val="none" w:sz="0" w:space="0" w:color="auto"/>
            </w:tcBorders>
          </w:tcPr>
          <w:p w14:paraId="18907B1E" w14:textId="77777777" w:rsidR="00EE4620" w:rsidRPr="00EE4620" w:rsidRDefault="00EE4620" w:rsidP="00EE4620">
            <w:pPr>
              <w:cnfStyle w:val="000000100000" w:firstRow="0" w:lastRow="0" w:firstColumn="0" w:lastColumn="0" w:oddVBand="0" w:evenVBand="0" w:oddHBand="1" w:evenHBand="0" w:firstRowFirstColumn="0" w:firstRowLastColumn="0" w:lastRowFirstColumn="0" w:lastRowLastColumn="0"/>
              <w:rPr>
                <w:rFonts w:cs="Arial"/>
                <w:b/>
              </w:rPr>
            </w:pPr>
            <w:r w:rsidRPr="00EE4620">
              <w:rPr>
                <w:rFonts w:cs="Arial"/>
                <w:b/>
              </w:rPr>
              <w:t>66%</w:t>
            </w:r>
          </w:p>
        </w:tc>
      </w:tr>
      <w:tr w:rsidR="00EE4620" w:rsidRPr="00EE4620" w14:paraId="18907B29" w14:textId="77777777" w:rsidTr="00E55451">
        <w:tc>
          <w:tcPr>
            <w:cnfStyle w:val="001000000000" w:firstRow="0" w:lastRow="0" w:firstColumn="1" w:lastColumn="0" w:oddVBand="0" w:evenVBand="0" w:oddHBand="0" w:evenHBand="0" w:firstRowFirstColumn="0" w:firstRowLastColumn="0" w:lastRowFirstColumn="0" w:lastRowLastColumn="0"/>
            <w:tcW w:w="2694" w:type="dxa"/>
            <w:vAlign w:val="top"/>
          </w:tcPr>
          <w:p w14:paraId="18907B20" w14:textId="77777777" w:rsidR="00EE4620" w:rsidRPr="00EE4620" w:rsidRDefault="00EE4620" w:rsidP="00EE4620">
            <w:pPr>
              <w:rPr>
                <w:rFonts w:cs="Arial"/>
              </w:rPr>
            </w:pPr>
            <w:r w:rsidRPr="00EE4620">
              <w:rPr>
                <w:rFonts w:cs="Arial"/>
              </w:rPr>
              <w:t>Agree the LGA stands up for and defends the reputation of local government</w:t>
            </w:r>
          </w:p>
        </w:tc>
        <w:tc>
          <w:tcPr>
            <w:tcW w:w="896" w:type="dxa"/>
          </w:tcPr>
          <w:p w14:paraId="18907B21" w14:textId="77777777" w:rsidR="00EE4620" w:rsidRPr="00EE4620" w:rsidRDefault="00EE4620" w:rsidP="00EE4620">
            <w:pPr>
              <w:cnfStyle w:val="000000000000" w:firstRow="0" w:lastRow="0" w:firstColumn="0" w:lastColumn="0" w:oddVBand="0" w:evenVBand="0" w:oddHBand="0" w:evenHBand="0" w:firstRowFirstColumn="0" w:firstRowLastColumn="0" w:lastRowFirstColumn="0" w:lastRowLastColumn="0"/>
              <w:rPr>
                <w:rFonts w:cs="Arial"/>
              </w:rPr>
            </w:pPr>
            <w:r w:rsidRPr="00EE4620">
              <w:rPr>
                <w:rFonts w:cs="Arial"/>
              </w:rPr>
              <w:t>-</w:t>
            </w:r>
          </w:p>
        </w:tc>
        <w:tc>
          <w:tcPr>
            <w:tcW w:w="851" w:type="dxa"/>
          </w:tcPr>
          <w:p w14:paraId="18907B22" w14:textId="77777777" w:rsidR="00EE4620" w:rsidRPr="00EE4620" w:rsidRDefault="00EE4620" w:rsidP="00EE4620">
            <w:pPr>
              <w:cnfStyle w:val="000000000000" w:firstRow="0" w:lastRow="0" w:firstColumn="0" w:lastColumn="0" w:oddVBand="0" w:evenVBand="0" w:oddHBand="0" w:evenHBand="0" w:firstRowFirstColumn="0" w:firstRowLastColumn="0" w:lastRowFirstColumn="0" w:lastRowLastColumn="0"/>
              <w:rPr>
                <w:rFonts w:cs="Arial"/>
                <w:b/>
              </w:rPr>
            </w:pPr>
            <w:r w:rsidRPr="00EE4620">
              <w:rPr>
                <w:rFonts w:cs="Arial"/>
                <w:b/>
              </w:rPr>
              <w:t>85%</w:t>
            </w:r>
          </w:p>
        </w:tc>
        <w:tc>
          <w:tcPr>
            <w:tcW w:w="850" w:type="dxa"/>
          </w:tcPr>
          <w:p w14:paraId="18907B23" w14:textId="77777777" w:rsidR="00EE4620" w:rsidRPr="00EE4620" w:rsidRDefault="00EE4620" w:rsidP="00EE4620">
            <w:pPr>
              <w:cnfStyle w:val="000000000000" w:firstRow="0" w:lastRow="0" w:firstColumn="0" w:lastColumn="0" w:oddVBand="0" w:evenVBand="0" w:oddHBand="0" w:evenHBand="0" w:firstRowFirstColumn="0" w:firstRowLastColumn="0" w:lastRowFirstColumn="0" w:lastRowLastColumn="0"/>
              <w:rPr>
                <w:rFonts w:cs="Arial"/>
              </w:rPr>
            </w:pPr>
            <w:r w:rsidRPr="00EE4620">
              <w:rPr>
                <w:rFonts w:cs="Arial"/>
              </w:rPr>
              <w:t>-</w:t>
            </w:r>
          </w:p>
        </w:tc>
        <w:tc>
          <w:tcPr>
            <w:tcW w:w="851" w:type="dxa"/>
          </w:tcPr>
          <w:p w14:paraId="18907B24" w14:textId="77777777" w:rsidR="00EE4620" w:rsidRPr="00EE4620" w:rsidRDefault="00EE4620" w:rsidP="00EE4620">
            <w:pPr>
              <w:cnfStyle w:val="000000000000" w:firstRow="0" w:lastRow="0" w:firstColumn="0" w:lastColumn="0" w:oddVBand="0" w:evenVBand="0" w:oddHBand="0" w:evenHBand="0" w:firstRowFirstColumn="0" w:firstRowLastColumn="0" w:lastRowFirstColumn="0" w:lastRowLastColumn="0"/>
              <w:rPr>
                <w:rFonts w:cs="Arial"/>
                <w:b/>
              </w:rPr>
            </w:pPr>
            <w:r w:rsidRPr="00EE4620">
              <w:rPr>
                <w:rFonts w:cs="Arial"/>
                <w:b/>
              </w:rPr>
              <w:t>87%</w:t>
            </w:r>
          </w:p>
        </w:tc>
        <w:tc>
          <w:tcPr>
            <w:tcW w:w="993" w:type="dxa"/>
          </w:tcPr>
          <w:p w14:paraId="18907B25" w14:textId="77777777" w:rsidR="00EE4620" w:rsidRPr="00EE4620" w:rsidRDefault="00EE4620" w:rsidP="00EE4620">
            <w:pPr>
              <w:cnfStyle w:val="000000000000" w:firstRow="0" w:lastRow="0" w:firstColumn="0" w:lastColumn="0" w:oddVBand="0" w:evenVBand="0" w:oddHBand="0" w:evenHBand="0" w:firstRowFirstColumn="0" w:firstRowLastColumn="0" w:lastRowFirstColumn="0" w:lastRowLastColumn="0"/>
              <w:rPr>
                <w:rFonts w:cs="Arial"/>
              </w:rPr>
            </w:pPr>
            <w:r w:rsidRPr="00EE4620">
              <w:rPr>
                <w:rFonts w:cs="Arial"/>
              </w:rPr>
              <w:t>-</w:t>
            </w:r>
          </w:p>
        </w:tc>
        <w:tc>
          <w:tcPr>
            <w:tcW w:w="872" w:type="dxa"/>
          </w:tcPr>
          <w:p w14:paraId="18907B26" w14:textId="77777777" w:rsidR="00EE4620" w:rsidRPr="00EE4620" w:rsidRDefault="00EE4620" w:rsidP="00EE4620">
            <w:pPr>
              <w:cnfStyle w:val="000000000000" w:firstRow="0" w:lastRow="0" w:firstColumn="0" w:lastColumn="0" w:oddVBand="0" w:evenVBand="0" w:oddHBand="0" w:evenHBand="0" w:firstRowFirstColumn="0" w:firstRowLastColumn="0" w:lastRowFirstColumn="0" w:lastRowLastColumn="0"/>
              <w:rPr>
                <w:rFonts w:cs="Arial"/>
                <w:b/>
              </w:rPr>
            </w:pPr>
            <w:r w:rsidRPr="00EE4620">
              <w:rPr>
                <w:rFonts w:cs="Arial"/>
                <w:b/>
              </w:rPr>
              <w:t>85%</w:t>
            </w:r>
          </w:p>
        </w:tc>
        <w:tc>
          <w:tcPr>
            <w:tcW w:w="970" w:type="dxa"/>
          </w:tcPr>
          <w:p w14:paraId="18907B27" w14:textId="77777777" w:rsidR="00EE4620" w:rsidRPr="00EE4620" w:rsidRDefault="00EE4620" w:rsidP="00EE4620">
            <w:pPr>
              <w:cnfStyle w:val="000000000000" w:firstRow="0" w:lastRow="0" w:firstColumn="0" w:lastColumn="0" w:oddVBand="0" w:evenVBand="0" w:oddHBand="0" w:evenHBand="0" w:firstRowFirstColumn="0" w:firstRowLastColumn="0" w:lastRowFirstColumn="0" w:lastRowLastColumn="0"/>
              <w:rPr>
                <w:rFonts w:cs="Arial"/>
              </w:rPr>
            </w:pPr>
            <w:r w:rsidRPr="00EE4620">
              <w:rPr>
                <w:rFonts w:cs="Arial"/>
              </w:rPr>
              <w:t>-</w:t>
            </w:r>
          </w:p>
        </w:tc>
        <w:tc>
          <w:tcPr>
            <w:tcW w:w="992" w:type="dxa"/>
          </w:tcPr>
          <w:p w14:paraId="18907B28" w14:textId="77777777" w:rsidR="00EE4620" w:rsidRPr="00EE4620" w:rsidRDefault="00EE4620" w:rsidP="00EE4620">
            <w:pPr>
              <w:cnfStyle w:val="000000000000" w:firstRow="0" w:lastRow="0" w:firstColumn="0" w:lastColumn="0" w:oddVBand="0" w:evenVBand="0" w:oddHBand="0" w:evenHBand="0" w:firstRowFirstColumn="0" w:firstRowLastColumn="0" w:lastRowFirstColumn="0" w:lastRowLastColumn="0"/>
              <w:rPr>
                <w:rFonts w:cs="Arial"/>
                <w:b/>
              </w:rPr>
            </w:pPr>
            <w:r w:rsidRPr="00EE4620">
              <w:rPr>
                <w:rFonts w:cs="Arial"/>
                <w:b/>
              </w:rPr>
              <w:t>81%</w:t>
            </w:r>
          </w:p>
        </w:tc>
      </w:tr>
      <w:tr w:rsidR="00EE4620" w:rsidRPr="00EE4620" w14:paraId="18907B33" w14:textId="77777777" w:rsidTr="00E5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none" w:sz="0" w:space="0" w:color="auto"/>
              <w:left w:val="none" w:sz="0" w:space="0" w:color="auto"/>
              <w:bottom w:val="none" w:sz="0" w:space="0" w:color="auto"/>
            </w:tcBorders>
            <w:vAlign w:val="top"/>
          </w:tcPr>
          <w:p w14:paraId="18907B2A" w14:textId="77777777" w:rsidR="00EE4620" w:rsidRPr="00EE4620" w:rsidRDefault="00EE4620" w:rsidP="00EE4620">
            <w:pPr>
              <w:rPr>
                <w:rFonts w:cs="Arial"/>
              </w:rPr>
            </w:pPr>
            <w:r w:rsidRPr="00EE4620">
              <w:rPr>
                <w:rFonts w:cs="Arial"/>
              </w:rPr>
              <w:t>Agree the LGA effectively represents the views of its members to central government</w:t>
            </w:r>
          </w:p>
        </w:tc>
        <w:tc>
          <w:tcPr>
            <w:tcW w:w="896" w:type="dxa"/>
            <w:tcBorders>
              <w:top w:val="none" w:sz="0" w:space="0" w:color="auto"/>
              <w:bottom w:val="none" w:sz="0" w:space="0" w:color="auto"/>
            </w:tcBorders>
          </w:tcPr>
          <w:p w14:paraId="18907B2B" w14:textId="77777777" w:rsidR="00EE4620" w:rsidRPr="00EE4620" w:rsidRDefault="00EE4620" w:rsidP="00EE4620">
            <w:pPr>
              <w:cnfStyle w:val="000000100000" w:firstRow="0" w:lastRow="0" w:firstColumn="0" w:lastColumn="0" w:oddVBand="0" w:evenVBand="0" w:oddHBand="1" w:evenHBand="0" w:firstRowFirstColumn="0" w:firstRowLastColumn="0" w:lastRowFirstColumn="0" w:lastRowLastColumn="0"/>
              <w:rPr>
                <w:rFonts w:cs="Arial"/>
              </w:rPr>
            </w:pPr>
            <w:r w:rsidRPr="00EE4620">
              <w:rPr>
                <w:rFonts w:cs="Arial"/>
              </w:rPr>
              <w:t>69%</w:t>
            </w:r>
          </w:p>
        </w:tc>
        <w:tc>
          <w:tcPr>
            <w:tcW w:w="851" w:type="dxa"/>
            <w:tcBorders>
              <w:top w:val="none" w:sz="0" w:space="0" w:color="auto"/>
              <w:bottom w:val="none" w:sz="0" w:space="0" w:color="auto"/>
            </w:tcBorders>
          </w:tcPr>
          <w:p w14:paraId="18907B2C" w14:textId="77777777" w:rsidR="00EE4620" w:rsidRPr="00EE4620" w:rsidRDefault="00EE4620" w:rsidP="00EE4620">
            <w:pPr>
              <w:cnfStyle w:val="000000100000" w:firstRow="0" w:lastRow="0" w:firstColumn="0" w:lastColumn="0" w:oddVBand="0" w:evenVBand="0" w:oddHBand="1" w:evenHBand="0" w:firstRowFirstColumn="0" w:firstRowLastColumn="0" w:lastRowFirstColumn="0" w:lastRowLastColumn="0"/>
              <w:rPr>
                <w:rFonts w:cs="Arial"/>
                <w:b/>
              </w:rPr>
            </w:pPr>
            <w:r w:rsidRPr="00EE4620">
              <w:rPr>
                <w:rFonts w:cs="Arial"/>
                <w:b/>
              </w:rPr>
              <w:t>77%</w:t>
            </w:r>
          </w:p>
        </w:tc>
        <w:tc>
          <w:tcPr>
            <w:tcW w:w="850" w:type="dxa"/>
            <w:tcBorders>
              <w:top w:val="none" w:sz="0" w:space="0" w:color="auto"/>
              <w:bottom w:val="none" w:sz="0" w:space="0" w:color="auto"/>
            </w:tcBorders>
          </w:tcPr>
          <w:p w14:paraId="18907B2D" w14:textId="77777777" w:rsidR="00EE4620" w:rsidRPr="00EE4620" w:rsidRDefault="00EE4620" w:rsidP="00EE4620">
            <w:pPr>
              <w:cnfStyle w:val="000000100000" w:firstRow="0" w:lastRow="0" w:firstColumn="0" w:lastColumn="0" w:oddVBand="0" w:evenVBand="0" w:oddHBand="1" w:evenHBand="0" w:firstRowFirstColumn="0" w:firstRowLastColumn="0" w:lastRowFirstColumn="0" w:lastRowLastColumn="0"/>
              <w:rPr>
                <w:rFonts w:cs="Arial"/>
              </w:rPr>
            </w:pPr>
            <w:r w:rsidRPr="00EE4620">
              <w:rPr>
                <w:rFonts w:cs="Arial"/>
              </w:rPr>
              <w:t>73%</w:t>
            </w:r>
          </w:p>
        </w:tc>
        <w:tc>
          <w:tcPr>
            <w:tcW w:w="851" w:type="dxa"/>
            <w:tcBorders>
              <w:top w:val="none" w:sz="0" w:space="0" w:color="auto"/>
              <w:bottom w:val="none" w:sz="0" w:space="0" w:color="auto"/>
            </w:tcBorders>
          </w:tcPr>
          <w:p w14:paraId="18907B2E" w14:textId="77777777" w:rsidR="00EE4620" w:rsidRPr="00EE4620" w:rsidRDefault="00EE4620" w:rsidP="00EE4620">
            <w:pPr>
              <w:cnfStyle w:val="000000100000" w:firstRow="0" w:lastRow="0" w:firstColumn="0" w:lastColumn="0" w:oddVBand="0" w:evenVBand="0" w:oddHBand="1" w:evenHBand="0" w:firstRowFirstColumn="0" w:firstRowLastColumn="0" w:lastRowFirstColumn="0" w:lastRowLastColumn="0"/>
              <w:rPr>
                <w:rFonts w:cs="Arial"/>
                <w:b/>
              </w:rPr>
            </w:pPr>
            <w:r w:rsidRPr="00EE4620">
              <w:rPr>
                <w:rFonts w:cs="Arial"/>
                <w:b/>
              </w:rPr>
              <w:t>80%</w:t>
            </w:r>
          </w:p>
        </w:tc>
        <w:tc>
          <w:tcPr>
            <w:tcW w:w="993" w:type="dxa"/>
            <w:tcBorders>
              <w:top w:val="none" w:sz="0" w:space="0" w:color="auto"/>
              <w:bottom w:val="none" w:sz="0" w:space="0" w:color="auto"/>
            </w:tcBorders>
          </w:tcPr>
          <w:p w14:paraId="18907B2F" w14:textId="77777777" w:rsidR="00EE4620" w:rsidRPr="00EE4620" w:rsidRDefault="00EE4620" w:rsidP="00EE4620">
            <w:pPr>
              <w:cnfStyle w:val="000000100000" w:firstRow="0" w:lastRow="0" w:firstColumn="0" w:lastColumn="0" w:oddVBand="0" w:evenVBand="0" w:oddHBand="1" w:evenHBand="0" w:firstRowFirstColumn="0" w:firstRowLastColumn="0" w:lastRowFirstColumn="0" w:lastRowLastColumn="0"/>
              <w:rPr>
                <w:rFonts w:cs="Arial"/>
              </w:rPr>
            </w:pPr>
            <w:r w:rsidRPr="00EE4620">
              <w:rPr>
                <w:rFonts w:cs="Arial"/>
              </w:rPr>
              <w:t>67%</w:t>
            </w:r>
          </w:p>
        </w:tc>
        <w:tc>
          <w:tcPr>
            <w:tcW w:w="872" w:type="dxa"/>
            <w:tcBorders>
              <w:top w:val="none" w:sz="0" w:space="0" w:color="auto"/>
              <w:bottom w:val="none" w:sz="0" w:space="0" w:color="auto"/>
            </w:tcBorders>
          </w:tcPr>
          <w:p w14:paraId="18907B30" w14:textId="77777777" w:rsidR="00EE4620" w:rsidRPr="00EE4620" w:rsidRDefault="00EE4620" w:rsidP="00EE4620">
            <w:pPr>
              <w:cnfStyle w:val="000000100000" w:firstRow="0" w:lastRow="0" w:firstColumn="0" w:lastColumn="0" w:oddVBand="0" w:evenVBand="0" w:oddHBand="1" w:evenHBand="0" w:firstRowFirstColumn="0" w:firstRowLastColumn="0" w:lastRowFirstColumn="0" w:lastRowLastColumn="0"/>
              <w:rPr>
                <w:rFonts w:cs="Arial"/>
                <w:b/>
              </w:rPr>
            </w:pPr>
            <w:r w:rsidRPr="00EE4620">
              <w:rPr>
                <w:rFonts w:cs="Arial"/>
                <w:b/>
              </w:rPr>
              <w:t>77%</w:t>
            </w:r>
          </w:p>
        </w:tc>
        <w:tc>
          <w:tcPr>
            <w:tcW w:w="970" w:type="dxa"/>
            <w:tcBorders>
              <w:top w:val="none" w:sz="0" w:space="0" w:color="auto"/>
              <w:bottom w:val="none" w:sz="0" w:space="0" w:color="auto"/>
            </w:tcBorders>
          </w:tcPr>
          <w:p w14:paraId="18907B31" w14:textId="77777777" w:rsidR="00EE4620" w:rsidRPr="00EE4620" w:rsidRDefault="00EE4620" w:rsidP="00EE4620">
            <w:pPr>
              <w:cnfStyle w:val="000000100000" w:firstRow="0" w:lastRow="0" w:firstColumn="0" w:lastColumn="0" w:oddVBand="0" w:evenVBand="0" w:oddHBand="1" w:evenHBand="0" w:firstRowFirstColumn="0" w:firstRowLastColumn="0" w:lastRowFirstColumn="0" w:lastRowLastColumn="0"/>
              <w:rPr>
                <w:rFonts w:cs="Arial"/>
              </w:rPr>
            </w:pPr>
            <w:r w:rsidRPr="00EE4620">
              <w:rPr>
                <w:rFonts w:cs="Arial"/>
              </w:rPr>
              <w:t>66%</w:t>
            </w:r>
          </w:p>
        </w:tc>
        <w:tc>
          <w:tcPr>
            <w:tcW w:w="992" w:type="dxa"/>
            <w:tcBorders>
              <w:top w:val="none" w:sz="0" w:space="0" w:color="auto"/>
              <w:bottom w:val="none" w:sz="0" w:space="0" w:color="auto"/>
              <w:right w:val="none" w:sz="0" w:space="0" w:color="auto"/>
            </w:tcBorders>
          </w:tcPr>
          <w:p w14:paraId="18907B32" w14:textId="77777777" w:rsidR="00EE4620" w:rsidRPr="00EE4620" w:rsidRDefault="00EE4620" w:rsidP="00EE4620">
            <w:pPr>
              <w:cnfStyle w:val="000000100000" w:firstRow="0" w:lastRow="0" w:firstColumn="0" w:lastColumn="0" w:oddVBand="0" w:evenVBand="0" w:oddHBand="1" w:evenHBand="0" w:firstRowFirstColumn="0" w:firstRowLastColumn="0" w:lastRowFirstColumn="0" w:lastRowLastColumn="0"/>
              <w:rPr>
                <w:rFonts w:cs="Arial"/>
                <w:b/>
              </w:rPr>
            </w:pPr>
            <w:r w:rsidRPr="00EE4620">
              <w:rPr>
                <w:rFonts w:cs="Arial"/>
                <w:b/>
              </w:rPr>
              <w:t>74%</w:t>
            </w:r>
          </w:p>
        </w:tc>
      </w:tr>
      <w:tr w:rsidR="00EE4620" w:rsidRPr="00EE4620" w14:paraId="18907B3D" w14:textId="77777777" w:rsidTr="00E55451">
        <w:tc>
          <w:tcPr>
            <w:cnfStyle w:val="001000000000" w:firstRow="0" w:lastRow="0" w:firstColumn="1" w:lastColumn="0" w:oddVBand="0" w:evenVBand="0" w:oddHBand="0" w:evenHBand="0" w:firstRowFirstColumn="0" w:firstRowLastColumn="0" w:lastRowFirstColumn="0" w:lastRowLastColumn="0"/>
            <w:tcW w:w="2694" w:type="dxa"/>
            <w:vAlign w:val="top"/>
          </w:tcPr>
          <w:p w14:paraId="18907B34" w14:textId="77777777" w:rsidR="00EE4620" w:rsidRPr="00EE4620" w:rsidRDefault="00EE4620" w:rsidP="00EE4620">
            <w:pPr>
              <w:rPr>
                <w:rFonts w:cs="Arial"/>
              </w:rPr>
            </w:pPr>
            <w:r w:rsidRPr="00EE4620">
              <w:rPr>
                <w:rFonts w:cs="Arial"/>
              </w:rPr>
              <w:t>Agree the LGA helps to set and drive improvement in the local government sector</w:t>
            </w:r>
          </w:p>
        </w:tc>
        <w:tc>
          <w:tcPr>
            <w:tcW w:w="896" w:type="dxa"/>
          </w:tcPr>
          <w:p w14:paraId="18907B35" w14:textId="77777777" w:rsidR="00EE4620" w:rsidRPr="00EE4620" w:rsidRDefault="00EE4620" w:rsidP="00EE4620">
            <w:pPr>
              <w:cnfStyle w:val="000000000000" w:firstRow="0" w:lastRow="0" w:firstColumn="0" w:lastColumn="0" w:oddVBand="0" w:evenVBand="0" w:oddHBand="0" w:evenHBand="0" w:firstRowFirstColumn="0" w:firstRowLastColumn="0" w:lastRowFirstColumn="0" w:lastRowLastColumn="0"/>
              <w:rPr>
                <w:rFonts w:cs="Arial"/>
              </w:rPr>
            </w:pPr>
            <w:r w:rsidRPr="00EE4620">
              <w:rPr>
                <w:rFonts w:cs="Arial"/>
              </w:rPr>
              <w:t>71%</w:t>
            </w:r>
          </w:p>
        </w:tc>
        <w:tc>
          <w:tcPr>
            <w:tcW w:w="851" w:type="dxa"/>
          </w:tcPr>
          <w:p w14:paraId="18907B36" w14:textId="77777777" w:rsidR="00EE4620" w:rsidRPr="00EE4620" w:rsidRDefault="00EE4620" w:rsidP="00EE4620">
            <w:pPr>
              <w:cnfStyle w:val="000000000000" w:firstRow="0" w:lastRow="0" w:firstColumn="0" w:lastColumn="0" w:oddVBand="0" w:evenVBand="0" w:oddHBand="0" w:evenHBand="0" w:firstRowFirstColumn="0" w:firstRowLastColumn="0" w:lastRowFirstColumn="0" w:lastRowLastColumn="0"/>
              <w:rPr>
                <w:rFonts w:cs="Arial"/>
                <w:b/>
              </w:rPr>
            </w:pPr>
            <w:r w:rsidRPr="00EE4620">
              <w:rPr>
                <w:rFonts w:cs="Arial"/>
                <w:b/>
              </w:rPr>
              <w:t>76%</w:t>
            </w:r>
          </w:p>
        </w:tc>
        <w:tc>
          <w:tcPr>
            <w:tcW w:w="850" w:type="dxa"/>
          </w:tcPr>
          <w:p w14:paraId="18907B37" w14:textId="77777777" w:rsidR="00EE4620" w:rsidRPr="00EE4620" w:rsidRDefault="00EE4620" w:rsidP="00EE4620">
            <w:pPr>
              <w:cnfStyle w:val="000000000000" w:firstRow="0" w:lastRow="0" w:firstColumn="0" w:lastColumn="0" w:oddVBand="0" w:evenVBand="0" w:oddHBand="0" w:evenHBand="0" w:firstRowFirstColumn="0" w:firstRowLastColumn="0" w:lastRowFirstColumn="0" w:lastRowLastColumn="0"/>
              <w:rPr>
                <w:rFonts w:cs="Arial"/>
              </w:rPr>
            </w:pPr>
            <w:r w:rsidRPr="00EE4620">
              <w:rPr>
                <w:rFonts w:cs="Arial"/>
              </w:rPr>
              <w:t>71%</w:t>
            </w:r>
          </w:p>
        </w:tc>
        <w:tc>
          <w:tcPr>
            <w:tcW w:w="851" w:type="dxa"/>
          </w:tcPr>
          <w:p w14:paraId="18907B38" w14:textId="77777777" w:rsidR="00EE4620" w:rsidRPr="00EE4620" w:rsidRDefault="00EE4620" w:rsidP="00EE4620">
            <w:pPr>
              <w:cnfStyle w:val="000000000000" w:firstRow="0" w:lastRow="0" w:firstColumn="0" w:lastColumn="0" w:oddVBand="0" w:evenVBand="0" w:oddHBand="0" w:evenHBand="0" w:firstRowFirstColumn="0" w:firstRowLastColumn="0" w:lastRowFirstColumn="0" w:lastRowLastColumn="0"/>
              <w:rPr>
                <w:rFonts w:cs="Arial"/>
                <w:b/>
              </w:rPr>
            </w:pPr>
            <w:r w:rsidRPr="00EE4620">
              <w:rPr>
                <w:rFonts w:cs="Arial"/>
                <w:b/>
              </w:rPr>
              <w:t>76%</w:t>
            </w:r>
          </w:p>
        </w:tc>
        <w:tc>
          <w:tcPr>
            <w:tcW w:w="993" w:type="dxa"/>
          </w:tcPr>
          <w:p w14:paraId="18907B39" w14:textId="77777777" w:rsidR="00EE4620" w:rsidRPr="00EE4620" w:rsidRDefault="00EE4620" w:rsidP="00EE4620">
            <w:pPr>
              <w:cnfStyle w:val="000000000000" w:firstRow="0" w:lastRow="0" w:firstColumn="0" w:lastColumn="0" w:oddVBand="0" w:evenVBand="0" w:oddHBand="0" w:evenHBand="0" w:firstRowFirstColumn="0" w:firstRowLastColumn="0" w:lastRowFirstColumn="0" w:lastRowLastColumn="0"/>
              <w:rPr>
                <w:rFonts w:cs="Arial"/>
              </w:rPr>
            </w:pPr>
            <w:r w:rsidRPr="00EE4620">
              <w:rPr>
                <w:rFonts w:cs="Arial"/>
              </w:rPr>
              <w:t>70%</w:t>
            </w:r>
          </w:p>
        </w:tc>
        <w:tc>
          <w:tcPr>
            <w:tcW w:w="872" w:type="dxa"/>
          </w:tcPr>
          <w:p w14:paraId="18907B3A" w14:textId="77777777" w:rsidR="00EE4620" w:rsidRPr="00EE4620" w:rsidRDefault="00EE4620" w:rsidP="00EE4620">
            <w:pPr>
              <w:cnfStyle w:val="000000000000" w:firstRow="0" w:lastRow="0" w:firstColumn="0" w:lastColumn="0" w:oddVBand="0" w:evenVBand="0" w:oddHBand="0" w:evenHBand="0" w:firstRowFirstColumn="0" w:firstRowLastColumn="0" w:lastRowFirstColumn="0" w:lastRowLastColumn="0"/>
              <w:rPr>
                <w:rFonts w:cs="Arial"/>
                <w:b/>
              </w:rPr>
            </w:pPr>
            <w:r w:rsidRPr="00EE4620">
              <w:rPr>
                <w:rFonts w:cs="Arial"/>
                <w:b/>
              </w:rPr>
              <w:t>80%</w:t>
            </w:r>
          </w:p>
        </w:tc>
        <w:tc>
          <w:tcPr>
            <w:tcW w:w="970" w:type="dxa"/>
          </w:tcPr>
          <w:p w14:paraId="18907B3B" w14:textId="77777777" w:rsidR="00EE4620" w:rsidRPr="00EE4620" w:rsidRDefault="00EE4620" w:rsidP="00EE4620">
            <w:pPr>
              <w:cnfStyle w:val="000000000000" w:firstRow="0" w:lastRow="0" w:firstColumn="0" w:lastColumn="0" w:oddVBand="0" w:evenVBand="0" w:oddHBand="0" w:evenHBand="0" w:firstRowFirstColumn="0" w:firstRowLastColumn="0" w:lastRowFirstColumn="0" w:lastRowLastColumn="0"/>
              <w:rPr>
                <w:rFonts w:cs="Arial"/>
              </w:rPr>
            </w:pPr>
            <w:r w:rsidRPr="00EE4620">
              <w:rPr>
                <w:rFonts w:cs="Arial"/>
              </w:rPr>
              <w:t>72%</w:t>
            </w:r>
          </w:p>
        </w:tc>
        <w:tc>
          <w:tcPr>
            <w:tcW w:w="992" w:type="dxa"/>
          </w:tcPr>
          <w:p w14:paraId="18907B3C" w14:textId="77777777" w:rsidR="00EE4620" w:rsidRPr="00EE4620" w:rsidRDefault="00EE4620" w:rsidP="00EE4620">
            <w:pPr>
              <w:cnfStyle w:val="000000000000" w:firstRow="0" w:lastRow="0" w:firstColumn="0" w:lastColumn="0" w:oddVBand="0" w:evenVBand="0" w:oddHBand="0" w:evenHBand="0" w:firstRowFirstColumn="0" w:firstRowLastColumn="0" w:lastRowFirstColumn="0" w:lastRowLastColumn="0"/>
              <w:rPr>
                <w:rFonts w:cs="Arial"/>
                <w:b/>
              </w:rPr>
            </w:pPr>
            <w:r w:rsidRPr="00EE4620">
              <w:rPr>
                <w:rFonts w:cs="Arial"/>
                <w:b/>
              </w:rPr>
              <w:t>72%</w:t>
            </w:r>
          </w:p>
        </w:tc>
      </w:tr>
      <w:tr w:rsidR="00EE4620" w:rsidRPr="00EE4620" w14:paraId="18907B47" w14:textId="77777777" w:rsidTr="00E5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none" w:sz="0" w:space="0" w:color="auto"/>
              <w:left w:val="none" w:sz="0" w:space="0" w:color="auto"/>
              <w:bottom w:val="none" w:sz="0" w:space="0" w:color="auto"/>
            </w:tcBorders>
            <w:vAlign w:val="top"/>
          </w:tcPr>
          <w:p w14:paraId="18907B3E" w14:textId="77777777" w:rsidR="00EE4620" w:rsidRPr="00EE4620" w:rsidRDefault="00EE4620" w:rsidP="00EE4620">
            <w:pPr>
              <w:rPr>
                <w:rFonts w:cs="Arial"/>
              </w:rPr>
            </w:pPr>
            <w:r w:rsidRPr="00EE4620">
              <w:rPr>
                <w:rFonts w:cs="Arial"/>
              </w:rPr>
              <w:t>Agree the LGA is transparent and accountable to its members</w:t>
            </w:r>
          </w:p>
        </w:tc>
        <w:tc>
          <w:tcPr>
            <w:tcW w:w="896" w:type="dxa"/>
            <w:tcBorders>
              <w:top w:val="none" w:sz="0" w:space="0" w:color="auto"/>
              <w:bottom w:val="none" w:sz="0" w:space="0" w:color="auto"/>
            </w:tcBorders>
          </w:tcPr>
          <w:p w14:paraId="18907B3F" w14:textId="77777777" w:rsidR="00EE4620" w:rsidRPr="00EE4620" w:rsidRDefault="00EE4620" w:rsidP="00EE4620">
            <w:pPr>
              <w:cnfStyle w:val="000000100000" w:firstRow="0" w:lastRow="0" w:firstColumn="0" w:lastColumn="0" w:oddVBand="0" w:evenVBand="0" w:oddHBand="1" w:evenHBand="0" w:firstRowFirstColumn="0" w:firstRowLastColumn="0" w:lastRowFirstColumn="0" w:lastRowLastColumn="0"/>
              <w:rPr>
                <w:rFonts w:cs="Arial"/>
              </w:rPr>
            </w:pPr>
            <w:r w:rsidRPr="00EE4620">
              <w:rPr>
                <w:rFonts w:cs="Arial"/>
              </w:rPr>
              <w:t>58%</w:t>
            </w:r>
          </w:p>
        </w:tc>
        <w:tc>
          <w:tcPr>
            <w:tcW w:w="851" w:type="dxa"/>
            <w:tcBorders>
              <w:top w:val="none" w:sz="0" w:space="0" w:color="auto"/>
              <w:bottom w:val="none" w:sz="0" w:space="0" w:color="auto"/>
            </w:tcBorders>
          </w:tcPr>
          <w:p w14:paraId="18907B40" w14:textId="77777777" w:rsidR="00EE4620" w:rsidRPr="00EE4620" w:rsidRDefault="00EE4620" w:rsidP="00EE4620">
            <w:pPr>
              <w:cnfStyle w:val="000000100000" w:firstRow="0" w:lastRow="0" w:firstColumn="0" w:lastColumn="0" w:oddVBand="0" w:evenVBand="0" w:oddHBand="1" w:evenHBand="0" w:firstRowFirstColumn="0" w:firstRowLastColumn="0" w:lastRowFirstColumn="0" w:lastRowLastColumn="0"/>
              <w:rPr>
                <w:rFonts w:cs="Arial"/>
                <w:b/>
              </w:rPr>
            </w:pPr>
            <w:r w:rsidRPr="00EE4620">
              <w:rPr>
                <w:rFonts w:cs="Arial"/>
                <w:b/>
              </w:rPr>
              <w:t>66%</w:t>
            </w:r>
          </w:p>
        </w:tc>
        <w:tc>
          <w:tcPr>
            <w:tcW w:w="850" w:type="dxa"/>
            <w:tcBorders>
              <w:top w:val="none" w:sz="0" w:space="0" w:color="auto"/>
              <w:bottom w:val="none" w:sz="0" w:space="0" w:color="auto"/>
            </w:tcBorders>
          </w:tcPr>
          <w:p w14:paraId="18907B41" w14:textId="77777777" w:rsidR="00EE4620" w:rsidRPr="00EE4620" w:rsidRDefault="00EE4620" w:rsidP="00EE4620">
            <w:pPr>
              <w:cnfStyle w:val="000000100000" w:firstRow="0" w:lastRow="0" w:firstColumn="0" w:lastColumn="0" w:oddVBand="0" w:evenVBand="0" w:oddHBand="1" w:evenHBand="0" w:firstRowFirstColumn="0" w:firstRowLastColumn="0" w:lastRowFirstColumn="0" w:lastRowLastColumn="0"/>
              <w:rPr>
                <w:rFonts w:cs="Arial"/>
              </w:rPr>
            </w:pPr>
            <w:r w:rsidRPr="00EE4620">
              <w:rPr>
                <w:rFonts w:cs="Arial"/>
              </w:rPr>
              <w:t>52%</w:t>
            </w:r>
          </w:p>
        </w:tc>
        <w:tc>
          <w:tcPr>
            <w:tcW w:w="851" w:type="dxa"/>
            <w:tcBorders>
              <w:top w:val="none" w:sz="0" w:space="0" w:color="auto"/>
              <w:bottom w:val="none" w:sz="0" w:space="0" w:color="auto"/>
            </w:tcBorders>
          </w:tcPr>
          <w:p w14:paraId="18907B42" w14:textId="77777777" w:rsidR="00EE4620" w:rsidRPr="00EE4620" w:rsidRDefault="00EE4620" w:rsidP="00EE4620">
            <w:pPr>
              <w:cnfStyle w:val="000000100000" w:firstRow="0" w:lastRow="0" w:firstColumn="0" w:lastColumn="0" w:oddVBand="0" w:evenVBand="0" w:oddHBand="1" w:evenHBand="0" w:firstRowFirstColumn="0" w:firstRowLastColumn="0" w:lastRowFirstColumn="0" w:lastRowLastColumn="0"/>
              <w:rPr>
                <w:rFonts w:cs="Arial"/>
                <w:b/>
              </w:rPr>
            </w:pPr>
            <w:r w:rsidRPr="00EE4620">
              <w:rPr>
                <w:rFonts w:cs="Arial"/>
                <w:b/>
              </w:rPr>
              <w:t>63%</w:t>
            </w:r>
          </w:p>
        </w:tc>
        <w:tc>
          <w:tcPr>
            <w:tcW w:w="993" w:type="dxa"/>
            <w:tcBorders>
              <w:top w:val="none" w:sz="0" w:space="0" w:color="auto"/>
              <w:bottom w:val="none" w:sz="0" w:space="0" w:color="auto"/>
            </w:tcBorders>
          </w:tcPr>
          <w:p w14:paraId="18907B43" w14:textId="77777777" w:rsidR="00EE4620" w:rsidRPr="00EE4620" w:rsidRDefault="00EE4620" w:rsidP="00EE4620">
            <w:pPr>
              <w:cnfStyle w:val="000000100000" w:firstRow="0" w:lastRow="0" w:firstColumn="0" w:lastColumn="0" w:oddVBand="0" w:evenVBand="0" w:oddHBand="1" w:evenHBand="0" w:firstRowFirstColumn="0" w:firstRowLastColumn="0" w:lastRowFirstColumn="0" w:lastRowLastColumn="0"/>
              <w:rPr>
                <w:rFonts w:cs="Arial"/>
              </w:rPr>
            </w:pPr>
            <w:r w:rsidRPr="00EE4620">
              <w:rPr>
                <w:rFonts w:cs="Arial"/>
              </w:rPr>
              <w:t>60%</w:t>
            </w:r>
          </w:p>
        </w:tc>
        <w:tc>
          <w:tcPr>
            <w:tcW w:w="872" w:type="dxa"/>
            <w:tcBorders>
              <w:top w:val="none" w:sz="0" w:space="0" w:color="auto"/>
              <w:bottom w:val="none" w:sz="0" w:space="0" w:color="auto"/>
            </w:tcBorders>
          </w:tcPr>
          <w:p w14:paraId="18907B44" w14:textId="77777777" w:rsidR="00EE4620" w:rsidRPr="00EE4620" w:rsidRDefault="00EE4620" w:rsidP="00EE4620">
            <w:pPr>
              <w:cnfStyle w:val="000000100000" w:firstRow="0" w:lastRow="0" w:firstColumn="0" w:lastColumn="0" w:oddVBand="0" w:evenVBand="0" w:oddHBand="1" w:evenHBand="0" w:firstRowFirstColumn="0" w:firstRowLastColumn="0" w:lastRowFirstColumn="0" w:lastRowLastColumn="0"/>
              <w:rPr>
                <w:rFonts w:cs="Arial"/>
                <w:b/>
              </w:rPr>
            </w:pPr>
            <w:r w:rsidRPr="00EE4620">
              <w:rPr>
                <w:rFonts w:cs="Arial"/>
                <w:b/>
              </w:rPr>
              <w:t>68%</w:t>
            </w:r>
          </w:p>
        </w:tc>
        <w:tc>
          <w:tcPr>
            <w:tcW w:w="970" w:type="dxa"/>
            <w:tcBorders>
              <w:top w:val="none" w:sz="0" w:space="0" w:color="auto"/>
              <w:bottom w:val="none" w:sz="0" w:space="0" w:color="auto"/>
            </w:tcBorders>
          </w:tcPr>
          <w:p w14:paraId="18907B45" w14:textId="77777777" w:rsidR="00EE4620" w:rsidRPr="00EE4620" w:rsidRDefault="00EE4620" w:rsidP="00EE4620">
            <w:pPr>
              <w:cnfStyle w:val="000000100000" w:firstRow="0" w:lastRow="0" w:firstColumn="0" w:lastColumn="0" w:oddVBand="0" w:evenVBand="0" w:oddHBand="1" w:evenHBand="0" w:firstRowFirstColumn="0" w:firstRowLastColumn="0" w:lastRowFirstColumn="0" w:lastRowLastColumn="0"/>
              <w:rPr>
                <w:rFonts w:cs="Arial"/>
              </w:rPr>
            </w:pPr>
            <w:r w:rsidRPr="00EE4620">
              <w:rPr>
                <w:rFonts w:cs="Arial"/>
              </w:rPr>
              <w:t>61%</w:t>
            </w:r>
          </w:p>
        </w:tc>
        <w:tc>
          <w:tcPr>
            <w:tcW w:w="992" w:type="dxa"/>
            <w:tcBorders>
              <w:top w:val="none" w:sz="0" w:space="0" w:color="auto"/>
              <w:bottom w:val="none" w:sz="0" w:space="0" w:color="auto"/>
              <w:right w:val="none" w:sz="0" w:space="0" w:color="auto"/>
            </w:tcBorders>
          </w:tcPr>
          <w:p w14:paraId="18907B46" w14:textId="77777777" w:rsidR="00EE4620" w:rsidRPr="00EE4620" w:rsidRDefault="00EE4620" w:rsidP="00EE4620">
            <w:pPr>
              <w:cnfStyle w:val="000000100000" w:firstRow="0" w:lastRow="0" w:firstColumn="0" w:lastColumn="0" w:oddVBand="0" w:evenVBand="0" w:oddHBand="1" w:evenHBand="0" w:firstRowFirstColumn="0" w:firstRowLastColumn="0" w:lastRowFirstColumn="0" w:lastRowLastColumn="0"/>
              <w:rPr>
                <w:rFonts w:cs="Arial"/>
                <w:b/>
              </w:rPr>
            </w:pPr>
            <w:r w:rsidRPr="00EE4620">
              <w:rPr>
                <w:rFonts w:cs="Arial"/>
                <w:b/>
              </w:rPr>
              <w:t>67%</w:t>
            </w:r>
          </w:p>
        </w:tc>
      </w:tr>
    </w:tbl>
    <w:p w14:paraId="18907B48" w14:textId="77777777" w:rsidR="00EE4620" w:rsidRPr="00EE4620" w:rsidRDefault="00EE4620" w:rsidP="00EE4620">
      <w:pPr>
        <w:spacing w:after="0" w:line="240" w:lineRule="auto"/>
        <w:jc w:val="both"/>
        <w:rPr>
          <w:rFonts w:ascii="Arial" w:eastAsia="Times New Roman" w:hAnsi="Arial" w:cs="Arial"/>
          <w:sz w:val="24"/>
          <w:szCs w:val="24"/>
          <w:lang w:eastAsia="en-GB"/>
        </w:rPr>
      </w:pPr>
    </w:p>
    <w:p w14:paraId="18907B49" w14:textId="3BEA93E0" w:rsidR="00EE4620" w:rsidRPr="00EE4620" w:rsidRDefault="00EE4620" w:rsidP="00E55451">
      <w:pPr>
        <w:numPr>
          <w:ilvl w:val="0"/>
          <w:numId w:val="3"/>
        </w:numPr>
        <w:spacing w:before="120" w:after="360" w:line="240" w:lineRule="auto"/>
        <w:ind w:left="567" w:hanging="567"/>
        <w:contextualSpacing/>
        <w:rPr>
          <w:rFonts w:ascii="Arial" w:eastAsia="Times New Roman" w:hAnsi="Arial" w:cs="Arial"/>
          <w:szCs w:val="20"/>
          <w:lang w:eastAsia="en-GB"/>
        </w:rPr>
      </w:pPr>
      <w:r w:rsidRPr="00EE4620">
        <w:rPr>
          <w:rFonts w:ascii="Arial" w:eastAsia="Times New Roman" w:hAnsi="Arial" w:cs="Arial"/>
          <w:b/>
          <w:szCs w:val="20"/>
          <w:lang w:eastAsia="en-GB"/>
        </w:rPr>
        <w:t>East Midlands</w:t>
      </w:r>
      <w:r w:rsidRPr="00EE4620">
        <w:rPr>
          <w:rFonts w:ascii="Arial" w:eastAsia="Times New Roman" w:hAnsi="Arial" w:cs="Arial"/>
          <w:szCs w:val="20"/>
          <w:lang w:eastAsia="en-GB"/>
        </w:rPr>
        <w:t xml:space="preserve"> respondents are significantly more likely than most to strongly agree that the LGA ‘</w:t>
      </w:r>
      <w:r w:rsidRPr="00EE4620">
        <w:rPr>
          <w:rFonts w:ascii="Arial" w:eastAsia="Times New Roman" w:hAnsi="Arial" w:cs="Arial"/>
          <w:i/>
          <w:szCs w:val="20"/>
          <w:lang w:eastAsia="en-GB"/>
        </w:rPr>
        <w:t>addresses the issues that are important to councils’</w:t>
      </w:r>
      <w:r w:rsidRPr="00EE4620">
        <w:rPr>
          <w:rFonts w:ascii="Arial" w:eastAsia="Times New Roman" w:hAnsi="Arial" w:cs="Arial"/>
          <w:szCs w:val="20"/>
          <w:lang w:eastAsia="en-GB"/>
        </w:rPr>
        <w:t xml:space="preserve"> (</w:t>
      </w:r>
      <w:r w:rsidRPr="00EE4620">
        <w:rPr>
          <w:rFonts w:ascii="Arial" w:eastAsia="Times New Roman" w:hAnsi="Arial" w:cs="Arial"/>
          <w:b/>
          <w:szCs w:val="20"/>
          <w:lang w:eastAsia="en-GB"/>
        </w:rPr>
        <w:t>45 per cent</w:t>
      </w:r>
      <w:r w:rsidRPr="00EE4620">
        <w:rPr>
          <w:rFonts w:ascii="Arial" w:eastAsia="Times New Roman" w:hAnsi="Arial" w:cs="Arial"/>
          <w:szCs w:val="20"/>
          <w:lang w:eastAsia="en-GB"/>
        </w:rPr>
        <w:t xml:space="preserve">, compared with an average of 32 per cent); that it </w:t>
      </w:r>
      <w:r w:rsidRPr="00EE4620">
        <w:rPr>
          <w:rFonts w:ascii="Arial" w:eastAsia="Times New Roman" w:hAnsi="Arial" w:cs="Arial"/>
          <w:i/>
          <w:szCs w:val="20"/>
          <w:lang w:eastAsia="en-GB"/>
        </w:rPr>
        <w:t>effectively represents the views of its members to central government</w:t>
      </w:r>
      <w:r w:rsidRPr="00EE4620">
        <w:rPr>
          <w:rFonts w:ascii="Arial" w:eastAsia="Times New Roman" w:hAnsi="Arial" w:cs="Arial"/>
          <w:szCs w:val="20"/>
          <w:lang w:eastAsia="en-GB"/>
        </w:rPr>
        <w:t xml:space="preserve"> (</w:t>
      </w:r>
      <w:r w:rsidRPr="00EE4620">
        <w:rPr>
          <w:rFonts w:ascii="Arial" w:eastAsia="Times New Roman" w:hAnsi="Arial" w:cs="Arial"/>
          <w:b/>
          <w:szCs w:val="20"/>
          <w:lang w:eastAsia="en-GB"/>
        </w:rPr>
        <w:t>41 per cent</w:t>
      </w:r>
      <w:r w:rsidRPr="00EE4620">
        <w:rPr>
          <w:rFonts w:ascii="Arial" w:eastAsia="Times New Roman" w:hAnsi="Arial" w:cs="Arial"/>
          <w:szCs w:val="20"/>
          <w:lang w:eastAsia="en-GB"/>
        </w:rPr>
        <w:t xml:space="preserve">, compared with a sample average of 27 per cent) and that it is </w:t>
      </w:r>
      <w:r w:rsidRPr="00EE4620">
        <w:rPr>
          <w:rFonts w:ascii="Arial" w:eastAsia="Times New Roman" w:hAnsi="Arial" w:cs="Arial"/>
          <w:i/>
          <w:szCs w:val="20"/>
          <w:lang w:eastAsia="en-GB"/>
        </w:rPr>
        <w:t>transparent and accountable to its members</w:t>
      </w:r>
      <w:r w:rsidRPr="00EE4620">
        <w:rPr>
          <w:rFonts w:ascii="Arial" w:eastAsia="Times New Roman" w:hAnsi="Arial" w:cs="Arial"/>
          <w:szCs w:val="20"/>
          <w:lang w:eastAsia="en-GB"/>
        </w:rPr>
        <w:t xml:space="preserve"> (</w:t>
      </w:r>
      <w:r w:rsidRPr="00EE4620">
        <w:rPr>
          <w:rFonts w:ascii="Arial" w:eastAsia="Times New Roman" w:hAnsi="Arial" w:cs="Arial"/>
          <w:b/>
          <w:szCs w:val="20"/>
          <w:lang w:eastAsia="en-GB"/>
        </w:rPr>
        <w:t>33 per cent</w:t>
      </w:r>
      <w:r w:rsidRPr="00EE4620">
        <w:rPr>
          <w:rFonts w:ascii="Arial" w:eastAsia="Times New Roman" w:hAnsi="Arial" w:cs="Arial"/>
          <w:szCs w:val="20"/>
          <w:lang w:eastAsia="en-GB"/>
        </w:rPr>
        <w:t xml:space="preserve"> compared with 22 per cent).</w:t>
      </w:r>
    </w:p>
    <w:p w14:paraId="18907B4A" w14:textId="77777777" w:rsidR="00EE4620" w:rsidRPr="00EE4620" w:rsidRDefault="00EE4620" w:rsidP="00EE4620">
      <w:pPr>
        <w:spacing w:after="0" w:line="240" w:lineRule="auto"/>
        <w:ind w:left="720"/>
        <w:rPr>
          <w:rFonts w:ascii="Arial" w:eastAsia="Times New Roman" w:hAnsi="Arial" w:cs="Arial"/>
          <w:lang w:eastAsia="en-GB"/>
        </w:rPr>
      </w:pPr>
    </w:p>
    <w:p w14:paraId="18907B4B" w14:textId="77777777" w:rsidR="00EE4620" w:rsidRPr="00EE4620" w:rsidRDefault="00EE4620" w:rsidP="00EE4620">
      <w:pPr>
        <w:spacing w:after="0" w:line="240" w:lineRule="auto"/>
        <w:rPr>
          <w:rFonts w:ascii="Arial" w:eastAsia="Times New Roman" w:hAnsi="Arial" w:cs="Arial"/>
          <w:b/>
          <w:lang w:eastAsia="en-GB"/>
        </w:rPr>
      </w:pPr>
    </w:p>
    <w:p w14:paraId="18907B4C" w14:textId="77777777" w:rsidR="00EE4620" w:rsidRPr="00EE4620" w:rsidRDefault="00EE4620" w:rsidP="00EE4620">
      <w:pPr>
        <w:spacing w:after="0" w:line="240" w:lineRule="auto"/>
        <w:rPr>
          <w:rFonts w:ascii="Arial" w:eastAsia="Times New Roman" w:hAnsi="Arial" w:cs="Arial"/>
          <w:b/>
          <w:lang w:eastAsia="en-GB"/>
        </w:rPr>
      </w:pPr>
    </w:p>
    <w:p w14:paraId="18907B4D" w14:textId="77777777" w:rsidR="00EE4620" w:rsidRPr="00EE4620" w:rsidRDefault="00EE4620" w:rsidP="00EE4620">
      <w:pPr>
        <w:spacing w:after="0" w:line="240" w:lineRule="auto"/>
        <w:rPr>
          <w:rFonts w:ascii="Arial" w:eastAsia="Times New Roman" w:hAnsi="Arial" w:cs="Arial"/>
          <w:b/>
          <w:lang w:eastAsia="en-GB"/>
        </w:rPr>
      </w:pPr>
    </w:p>
    <w:p w14:paraId="18907B4E" w14:textId="0BBDA7E3" w:rsidR="00EE4620" w:rsidRPr="00EE4620" w:rsidRDefault="00EE4620" w:rsidP="00E55451">
      <w:pPr>
        <w:numPr>
          <w:ilvl w:val="0"/>
          <w:numId w:val="3"/>
        </w:numPr>
        <w:spacing w:before="120" w:after="360" w:line="240" w:lineRule="auto"/>
        <w:ind w:left="567" w:hanging="567"/>
        <w:contextualSpacing/>
        <w:rPr>
          <w:rFonts w:ascii="Arial" w:eastAsia="Times New Roman" w:hAnsi="Arial" w:cs="Arial"/>
          <w:lang w:eastAsia="en-GB"/>
        </w:rPr>
      </w:pPr>
      <w:r w:rsidRPr="00EE4620">
        <w:rPr>
          <w:rFonts w:ascii="Arial" w:eastAsia="Times New Roman" w:hAnsi="Arial" w:cs="Arial"/>
          <w:b/>
          <w:lang w:eastAsia="en-GB"/>
        </w:rPr>
        <w:t>South East</w:t>
      </w:r>
      <w:r w:rsidRPr="00EE4620">
        <w:rPr>
          <w:rFonts w:ascii="Arial" w:eastAsia="Times New Roman" w:hAnsi="Arial" w:cs="Arial"/>
          <w:lang w:eastAsia="en-GB"/>
        </w:rPr>
        <w:t xml:space="preserve"> respondents are significantly more likely than those in other regions to disagree that the LGA ‘</w:t>
      </w:r>
      <w:r w:rsidRPr="00EE4620">
        <w:rPr>
          <w:rFonts w:ascii="Arial" w:eastAsia="Times New Roman" w:hAnsi="Arial" w:cs="Arial"/>
          <w:i/>
          <w:lang w:eastAsia="en-GB"/>
        </w:rPr>
        <w:t>understands what councils need to help them improve their services and organisational capacity’</w:t>
      </w:r>
      <w:r w:rsidRPr="00EE4620">
        <w:rPr>
          <w:rFonts w:ascii="Arial" w:eastAsia="Times New Roman" w:hAnsi="Arial" w:cs="Arial"/>
          <w:lang w:eastAsia="en-GB"/>
        </w:rPr>
        <w:t xml:space="preserve"> (</w:t>
      </w:r>
      <w:r w:rsidRPr="00EE4620">
        <w:rPr>
          <w:rFonts w:ascii="Arial" w:eastAsia="Times New Roman" w:hAnsi="Arial" w:cs="Arial"/>
          <w:b/>
          <w:lang w:eastAsia="en-GB"/>
        </w:rPr>
        <w:t>16 per cent</w:t>
      </w:r>
      <w:r w:rsidRPr="00EE4620">
        <w:rPr>
          <w:rFonts w:ascii="Arial" w:eastAsia="Times New Roman" w:hAnsi="Arial" w:cs="Arial"/>
          <w:lang w:eastAsia="en-GB"/>
        </w:rPr>
        <w:t>, compared with an average of 8 per cent) and that it is ‘</w:t>
      </w:r>
      <w:r w:rsidRPr="00EE4620">
        <w:rPr>
          <w:rFonts w:ascii="Arial" w:eastAsia="Times New Roman" w:hAnsi="Arial" w:cs="Arial"/>
          <w:i/>
          <w:lang w:eastAsia="en-GB"/>
        </w:rPr>
        <w:t>transparent and accountable to its members’</w:t>
      </w:r>
      <w:r w:rsidRPr="00EE4620">
        <w:rPr>
          <w:rFonts w:ascii="Arial" w:eastAsia="Times New Roman" w:hAnsi="Arial" w:cs="Arial"/>
          <w:lang w:eastAsia="en-GB"/>
        </w:rPr>
        <w:t xml:space="preserve"> (</w:t>
      </w:r>
      <w:r w:rsidRPr="00EE4620">
        <w:rPr>
          <w:rFonts w:ascii="Arial" w:eastAsia="Times New Roman" w:hAnsi="Arial" w:cs="Arial"/>
          <w:b/>
          <w:lang w:eastAsia="en-GB"/>
        </w:rPr>
        <w:t>16 per cent</w:t>
      </w:r>
      <w:r w:rsidRPr="00EE4620">
        <w:rPr>
          <w:rFonts w:ascii="Arial" w:eastAsia="Times New Roman" w:hAnsi="Arial" w:cs="Arial"/>
          <w:lang w:eastAsia="en-GB"/>
        </w:rPr>
        <w:t>, compared with 9 per cent).</w:t>
      </w:r>
    </w:p>
    <w:p w14:paraId="18907B4F" w14:textId="77777777" w:rsidR="00EE4620" w:rsidRPr="00EE4620" w:rsidRDefault="00EE4620" w:rsidP="00EE4620">
      <w:pPr>
        <w:spacing w:after="0" w:line="240" w:lineRule="auto"/>
        <w:ind w:left="360"/>
        <w:rPr>
          <w:rFonts w:ascii="Arial" w:eastAsia="Times New Roman" w:hAnsi="Arial" w:cs="Arial"/>
          <w:lang w:eastAsia="en-GB"/>
        </w:rPr>
      </w:pPr>
    </w:p>
    <w:p w14:paraId="18907B50" w14:textId="62B1CCC4" w:rsidR="00EE4620" w:rsidRPr="00EE4620" w:rsidRDefault="00EE4620" w:rsidP="00E55451">
      <w:pPr>
        <w:numPr>
          <w:ilvl w:val="0"/>
          <w:numId w:val="3"/>
        </w:numPr>
        <w:spacing w:before="120" w:after="360" w:line="240" w:lineRule="auto"/>
        <w:ind w:left="567" w:hanging="567"/>
        <w:contextualSpacing/>
        <w:rPr>
          <w:rFonts w:ascii="Arial" w:eastAsia="Times New Roman" w:hAnsi="Arial" w:cs="Arial"/>
          <w:lang w:eastAsia="en-GB"/>
        </w:rPr>
      </w:pPr>
      <w:r w:rsidRPr="00EE4620">
        <w:rPr>
          <w:rFonts w:ascii="Arial" w:eastAsia="Times New Roman" w:hAnsi="Arial" w:cs="Arial"/>
          <w:b/>
          <w:lang w:eastAsia="en-GB"/>
        </w:rPr>
        <w:t xml:space="preserve">East Midlands </w:t>
      </w:r>
      <w:r w:rsidRPr="00EE4620">
        <w:rPr>
          <w:rFonts w:ascii="Arial" w:eastAsia="Times New Roman" w:hAnsi="Arial" w:cs="Arial"/>
          <w:lang w:eastAsia="en-GB"/>
        </w:rPr>
        <w:t xml:space="preserve">and </w:t>
      </w:r>
      <w:r w:rsidRPr="00EE4620">
        <w:rPr>
          <w:rFonts w:ascii="Arial" w:eastAsia="Times New Roman" w:hAnsi="Arial" w:cs="Arial"/>
          <w:b/>
          <w:lang w:eastAsia="en-GB"/>
        </w:rPr>
        <w:t>South West</w:t>
      </w:r>
      <w:r w:rsidRPr="00EE4620">
        <w:rPr>
          <w:rFonts w:ascii="Arial" w:eastAsia="Times New Roman" w:hAnsi="Arial" w:cs="Arial"/>
          <w:lang w:eastAsia="en-GB"/>
        </w:rPr>
        <w:t xml:space="preserve"> respondents are significantly more likely than average to strongly agree that the LGA ‘</w:t>
      </w:r>
      <w:r w:rsidRPr="00EE4620">
        <w:rPr>
          <w:rFonts w:ascii="Arial" w:eastAsia="Times New Roman" w:hAnsi="Arial" w:cs="Arial"/>
          <w:i/>
          <w:lang w:eastAsia="en-GB"/>
        </w:rPr>
        <w:t>demonstrates value for money for the funding it receives’</w:t>
      </w:r>
      <w:r w:rsidRPr="00EE4620">
        <w:rPr>
          <w:rFonts w:ascii="Arial" w:eastAsia="Times New Roman" w:hAnsi="Arial" w:cs="Arial"/>
          <w:lang w:eastAsia="en-GB"/>
        </w:rPr>
        <w:t xml:space="preserve"> (</w:t>
      </w:r>
      <w:r w:rsidRPr="00EE4620">
        <w:rPr>
          <w:rFonts w:ascii="Arial" w:eastAsia="Times New Roman" w:hAnsi="Arial" w:cs="Arial"/>
          <w:b/>
          <w:lang w:eastAsia="en-GB"/>
        </w:rPr>
        <w:t>both</w:t>
      </w:r>
      <w:r w:rsidRPr="00EE4620">
        <w:rPr>
          <w:rFonts w:ascii="Arial" w:eastAsia="Times New Roman" w:hAnsi="Arial" w:cs="Arial"/>
          <w:lang w:eastAsia="en-GB"/>
        </w:rPr>
        <w:t xml:space="preserve"> </w:t>
      </w:r>
      <w:r w:rsidRPr="00EE4620">
        <w:rPr>
          <w:rFonts w:ascii="Arial" w:eastAsia="Times New Roman" w:hAnsi="Arial" w:cs="Arial"/>
          <w:b/>
          <w:lang w:eastAsia="en-GB"/>
        </w:rPr>
        <w:t>24 per cent</w:t>
      </w:r>
      <w:r w:rsidRPr="00EE4620">
        <w:rPr>
          <w:rFonts w:ascii="Arial" w:eastAsia="Times New Roman" w:hAnsi="Arial" w:cs="Arial"/>
          <w:lang w:eastAsia="en-GB"/>
        </w:rPr>
        <w:t>, compared with an average of 16 per cent).</w:t>
      </w:r>
    </w:p>
    <w:p w14:paraId="18907B51" w14:textId="77777777" w:rsidR="00EE4620" w:rsidRPr="00EE4620" w:rsidRDefault="00EE4620" w:rsidP="00EE4620">
      <w:pPr>
        <w:spacing w:after="0" w:line="240" w:lineRule="auto"/>
        <w:ind w:left="360"/>
        <w:rPr>
          <w:rFonts w:ascii="Arial" w:eastAsia="Times New Roman" w:hAnsi="Arial" w:cs="Arial"/>
          <w:lang w:eastAsia="en-GB"/>
        </w:rPr>
      </w:pPr>
    </w:p>
    <w:p w14:paraId="18907B52" w14:textId="41C84F3A" w:rsidR="00EE4620" w:rsidRPr="00EE4620" w:rsidRDefault="00EE4620" w:rsidP="00E55451">
      <w:pPr>
        <w:numPr>
          <w:ilvl w:val="0"/>
          <w:numId w:val="3"/>
        </w:numPr>
        <w:spacing w:before="120" w:after="360" w:line="240" w:lineRule="auto"/>
        <w:ind w:left="567" w:hanging="567"/>
        <w:contextualSpacing/>
        <w:rPr>
          <w:rFonts w:ascii="Arial" w:eastAsia="Times New Roman" w:hAnsi="Arial" w:cs="Arial"/>
          <w:lang w:eastAsia="en-GB"/>
        </w:rPr>
      </w:pPr>
      <w:r w:rsidRPr="009B65FE">
        <w:rPr>
          <w:rFonts w:ascii="Arial" w:eastAsia="Times New Roman" w:hAnsi="Arial" w:cs="Arial"/>
          <w:lang w:eastAsia="en-GB"/>
        </w:rPr>
        <w:t>Respondents</w:t>
      </w:r>
      <w:r w:rsidRPr="00EE4620">
        <w:rPr>
          <w:rFonts w:ascii="Arial" w:eastAsia="Times New Roman" w:hAnsi="Arial" w:cs="Arial"/>
          <w:lang w:eastAsia="en-GB"/>
        </w:rPr>
        <w:t xml:space="preserve"> in the </w:t>
      </w:r>
      <w:r w:rsidRPr="00EE4620">
        <w:rPr>
          <w:rFonts w:ascii="Arial" w:eastAsia="Times New Roman" w:hAnsi="Arial" w:cs="Arial"/>
          <w:b/>
          <w:lang w:eastAsia="en-GB"/>
        </w:rPr>
        <w:t>Yorkshire and the Humber</w:t>
      </w:r>
      <w:r w:rsidRPr="00EE4620">
        <w:rPr>
          <w:rFonts w:ascii="Arial" w:eastAsia="Times New Roman" w:hAnsi="Arial" w:cs="Arial"/>
          <w:lang w:eastAsia="en-GB"/>
        </w:rPr>
        <w:t xml:space="preserve"> region are significantly more likely than those elsewhere to strongly agree that the LGA ‘</w:t>
      </w:r>
      <w:r w:rsidRPr="00EE4620">
        <w:rPr>
          <w:rFonts w:ascii="Arial" w:eastAsia="Times New Roman" w:hAnsi="Arial" w:cs="Arial"/>
          <w:i/>
          <w:lang w:eastAsia="en-GB"/>
        </w:rPr>
        <w:t>helps to set and drive improvement in the local government sector’</w:t>
      </w:r>
      <w:r w:rsidRPr="00EE4620">
        <w:rPr>
          <w:rFonts w:ascii="Arial" w:eastAsia="Times New Roman" w:hAnsi="Arial" w:cs="Arial"/>
          <w:lang w:eastAsia="en-GB"/>
        </w:rPr>
        <w:t xml:space="preserve"> (</w:t>
      </w:r>
      <w:r w:rsidRPr="00EE4620">
        <w:rPr>
          <w:rFonts w:ascii="Arial" w:eastAsia="Times New Roman" w:hAnsi="Arial" w:cs="Arial"/>
          <w:b/>
          <w:lang w:eastAsia="en-GB"/>
        </w:rPr>
        <w:t>36 per cent</w:t>
      </w:r>
      <w:r w:rsidRPr="00EE4620">
        <w:rPr>
          <w:rFonts w:ascii="Arial" w:eastAsia="Times New Roman" w:hAnsi="Arial" w:cs="Arial"/>
          <w:lang w:eastAsia="en-GB"/>
        </w:rPr>
        <w:t xml:space="preserve"> compared with an average of 23 per cent).</w:t>
      </w:r>
    </w:p>
    <w:p w14:paraId="18907B53" w14:textId="77777777" w:rsidR="00EE4620" w:rsidRPr="00EE4620" w:rsidRDefault="00EE4620" w:rsidP="00EE4620">
      <w:pPr>
        <w:spacing w:after="0" w:line="240" w:lineRule="auto"/>
        <w:jc w:val="both"/>
        <w:rPr>
          <w:rFonts w:ascii="Arial" w:eastAsia="Times New Roman" w:hAnsi="Arial" w:cs="Arial"/>
          <w:sz w:val="24"/>
          <w:szCs w:val="24"/>
          <w:lang w:eastAsia="en-GB"/>
        </w:rPr>
      </w:pPr>
    </w:p>
    <w:p w14:paraId="18907B54" w14:textId="77777777" w:rsidR="00EE4620" w:rsidRPr="00EE4620" w:rsidRDefault="00EE4620" w:rsidP="00EE4620">
      <w:pPr>
        <w:spacing w:after="0" w:line="240" w:lineRule="auto"/>
        <w:rPr>
          <w:rFonts w:ascii="Arial" w:eastAsia="Times New Roman" w:hAnsi="Arial" w:cs="Times New Roman"/>
          <w:b/>
          <w:lang w:eastAsia="en-GB"/>
        </w:rPr>
      </w:pPr>
      <w:r w:rsidRPr="00EE4620">
        <w:rPr>
          <w:rFonts w:ascii="Arial" w:eastAsia="Times New Roman" w:hAnsi="Arial" w:cs="Times New Roman"/>
          <w:b/>
          <w:lang w:eastAsia="en-GB"/>
        </w:rPr>
        <w:t>Extent to which the LGA been an effective advocate for the interests of local government</w:t>
      </w:r>
    </w:p>
    <w:p w14:paraId="18907B55" w14:textId="77777777" w:rsidR="00EE4620" w:rsidRPr="00EE4620" w:rsidRDefault="00EE4620" w:rsidP="00EE4620">
      <w:pPr>
        <w:spacing w:after="0" w:line="240" w:lineRule="auto"/>
        <w:rPr>
          <w:rFonts w:ascii="Arial" w:eastAsia="Times New Roman" w:hAnsi="Arial" w:cs="Times New Roman"/>
          <w:b/>
          <w:lang w:eastAsia="en-GB"/>
        </w:rPr>
      </w:pPr>
    </w:p>
    <w:p w14:paraId="18907B56" w14:textId="2453DFB3" w:rsidR="00EE4620" w:rsidRPr="00EE4620" w:rsidRDefault="009B65FE" w:rsidP="009B65FE">
      <w:pPr>
        <w:numPr>
          <w:ilvl w:val="0"/>
          <w:numId w:val="3"/>
        </w:numPr>
        <w:spacing w:before="120" w:after="360" w:line="240" w:lineRule="auto"/>
        <w:ind w:left="567" w:hanging="567"/>
        <w:contextualSpacing/>
        <w:rPr>
          <w:rFonts w:ascii="Arial" w:eastAsia="Times New Roman" w:hAnsi="Arial" w:cs="Times New Roman"/>
          <w:lang w:eastAsia="en-GB"/>
        </w:rPr>
      </w:pPr>
      <w:r>
        <w:rPr>
          <w:rFonts w:ascii="Arial" w:eastAsia="Times New Roman" w:hAnsi="Arial" w:cs="Times New Roman"/>
          <w:lang w:eastAsia="en-GB"/>
        </w:rPr>
        <w:t>T</w:t>
      </w:r>
      <w:r w:rsidR="00EE4620" w:rsidRPr="009B65FE">
        <w:rPr>
          <w:rFonts w:ascii="Arial" w:eastAsia="Times New Roman" w:hAnsi="Arial" w:cs="Arial"/>
          <w:lang w:eastAsia="en-GB"/>
        </w:rPr>
        <w:t>he</w:t>
      </w:r>
      <w:r w:rsidR="00EE4620" w:rsidRPr="00EE4620">
        <w:rPr>
          <w:rFonts w:ascii="Arial" w:eastAsia="Times New Roman" w:hAnsi="Arial" w:cs="Times New Roman"/>
          <w:lang w:eastAsia="en-GB"/>
        </w:rPr>
        <w:t xml:space="preserve"> majority of respondents (</w:t>
      </w:r>
      <w:r w:rsidR="00EE4620" w:rsidRPr="00EE4620">
        <w:rPr>
          <w:rFonts w:ascii="Arial" w:eastAsia="Times New Roman" w:hAnsi="Arial" w:cs="Times New Roman"/>
          <w:b/>
          <w:lang w:eastAsia="en-GB"/>
        </w:rPr>
        <w:t>81 per cent</w:t>
      </w:r>
      <w:r w:rsidR="00EE4620" w:rsidRPr="00EE4620">
        <w:rPr>
          <w:rFonts w:ascii="Arial" w:eastAsia="Times New Roman" w:hAnsi="Arial" w:cs="Times New Roman"/>
          <w:lang w:eastAsia="en-GB"/>
        </w:rPr>
        <w:t>) be</w:t>
      </w:r>
      <w:r>
        <w:rPr>
          <w:rFonts w:ascii="Arial" w:eastAsia="Times New Roman" w:hAnsi="Arial" w:cs="Times New Roman"/>
          <w:lang w:eastAsia="en-GB"/>
        </w:rPr>
        <w:t xml:space="preserve">lieve that the LGA has been an </w:t>
      </w:r>
      <w:r w:rsidR="00EE4620" w:rsidRPr="00EE4620">
        <w:rPr>
          <w:rFonts w:ascii="Arial" w:eastAsia="Times New Roman" w:hAnsi="Arial" w:cs="Times New Roman"/>
          <w:lang w:eastAsia="en-GB"/>
        </w:rPr>
        <w:t xml:space="preserve">effective advocate for the interests of the local government sector.   </w:t>
      </w:r>
    </w:p>
    <w:p w14:paraId="18907B57" w14:textId="77777777" w:rsidR="00EE4620" w:rsidRPr="00EE4620" w:rsidRDefault="00EE4620" w:rsidP="00EE4620">
      <w:pPr>
        <w:spacing w:after="0" w:line="240" w:lineRule="auto"/>
        <w:rPr>
          <w:rFonts w:ascii="Arial" w:eastAsia="Times New Roman" w:hAnsi="Arial" w:cs="Times New Roman"/>
          <w:lang w:eastAsia="en-GB"/>
        </w:rPr>
      </w:pPr>
    </w:p>
    <w:p w14:paraId="18907B58" w14:textId="2B19AC34" w:rsidR="00EE4620" w:rsidRPr="00EE4620" w:rsidRDefault="00EE4620" w:rsidP="009B65FE">
      <w:pPr>
        <w:numPr>
          <w:ilvl w:val="0"/>
          <w:numId w:val="3"/>
        </w:numPr>
        <w:spacing w:before="120" w:after="360" w:line="240" w:lineRule="auto"/>
        <w:ind w:left="567" w:hanging="567"/>
        <w:contextualSpacing/>
        <w:rPr>
          <w:rFonts w:ascii="Arial" w:eastAsia="Times New Roman" w:hAnsi="Arial" w:cs="Arial"/>
          <w:szCs w:val="20"/>
          <w:lang w:eastAsia="en-GB"/>
        </w:rPr>
      </w:pPr>
      <w:r w:rsidRPr="009B65FE">
        <w:rPr>
          <w:rFonts w:ascii="Arial" w:eastAsia="Times New Roman" w:hAnsi="Arial" w:cs="Arial"/>
          <w:lang w:eastAsia="en-GB"/>
        </w:rPr>
        <w:t>Respondents</w:t>
      </w:r>
      <w:r w:rsidRPr="00EE4620">
        <w:rPr>
          <w:rFonts w:ascii="Arial" w:eastAsia="Times New Roman" w:hAnsi="Arial" w:cs="Arial"/>
          <w:szCs w:val="20"/>
          <w:lang w:eastAsia="en-GB"/>
        </w:rPr>
        <w:t xml:space="preserve"> in the </w:t>
      </w:r>
      <w:r w:rsidRPr="00EE4620">
        <w:rPr>
          <w:rFonts w:ascii="Arial" w:eastAsia="Times New Roman" w:hAnsi="Arial" w:cs="Arial"/>
          <w:b/>
          <w:szCs w:val="20"/>
          <w:lang w:eastAsia="en-GB"/>
        </w:rPr>
        <w:t>East, South West</w:t>
      </w:r>
      <w:r w:rsidRPr="00EE4620">
        <w:rPr>
          <w:rFonts w:ascii="Arial" w:eastAsia="Times New Roman" w:hAnsi="Arial" w:cs="Arial"/>
          <w:szCs w:val="20"/>
          <w:lang w:eastAsia="en-GB"/>
        </w:rPr>
        <w:t xml:space="preserve"> and </w:t>
      </w:r>
      <w:r w:rsidRPr="00EE4620">
        <w:rPr>
          <w:rFonts w:ascii="Arial" w:eastAsia="Times New Roman" w:hAnsi="Arial" w:cs="Arial"/>
          <w:b/>
          <w:szCs w:val="20"/>
          <w:lang w:eastAsia="en-GB"/>
        </w:rPr>
        <w:t xml:space="preserve">North East </w:t>
      </w:r>
      <w:r w:rsidRPr="00EE4620">
        <w:rPr>
          <w:rFonts w:ascii="Arial" w:eastAsia="Times New Roman" w:hAnsi="Arial" w:cs="Arial"/>
          <w:szCs w:val="20"/>
          <w:lang w:eastAsia="en-GB"/>
        </w:rPr>
        <w:t xml:space="preserve">are most likely to believe the LGA has been an effective advocate while those in </w:t>
      </w:r>
      <w:r w:rsidRPr="00EE4620">
        <w:rPr>
          <w:rFonts w:ascii="Arial" w:eastAsia="Times New Roman" w:hAnsi="Arial" w:cs="Arial"/>
          <w:b/>
          <w:szCs w:val="20"/>
          <w:lang w:eastAsia="en-GB"/>
        </w:rPr>
        <w:t>London and the North West</w:t>
      </w:r>
      <w:r w:rsidRPr="00EE4620">
        <w:rPr>
          <w:rFonts w:ascii="Arial" w:eastAsia="Times New Roman" w:hAnsi="Arial" w:cs="Arial"/>
          <w:szCs w:val="20"/>
          <w:lang w:eastAsia="en-GB"/>
        </w:rPr>
        <w:t xml:space="preserve"> are least likely to believe this is the case.</w:t>
      </w:r>
    </w:p>
    <w:p w14:paraId="18907B59" w14:textId="77777777" w:rsidR="00EE4620" w:rsidRPr="00EE4620" w:rsidRDefault="00EE4620" w:rsidP="00EE4620">
      <w:pPr>
        <w:spacing w:after="0" w:line="240" w:lineRule="auto"/>
        <w:jc w:val="both"/>
        <w:rPr>
          <w:rFonts w:ascii="Arial" w:eastAsia="Times New Roman" w:hAnsi="Arial" w:cs="Arial"/>
          <w:szCs w:val="20"/>
          <w:lang w:eastAsia="en-GB"/>
        </w:rPr>
      </w:pPr>
    </w:p>
    <w:p w14:paraId="18907B5A" w14:textId="6D0510B8" w:rsidR="00EE4620" w:rsidRPr="00EE4620" w:rsidRDefault="00EE4620" w:rsidP="009B65FE">
      <w:pPr>
        <w:numPr>
          <w:ilvl w:val="0"/>
          <w:numId w:val="3"/>
        </w:numPr>
        <w:spacing w:before="120" w:after="360" w:line="240" w:lineRule="auto"/>
        <w:ind w:left="567" w:hanging="567"/>
        <w:contextualSpacing/>
        <w:rPr>
          <w:rFonts w:ascii="Arial" w:eastAsia="Times New Roman" w:hAnsi="Arial" w:cs="Arial"/>
          <w:szCs w:val="20"/>
          <w:lang w:eastAsia="en-GB"/>
        </w:rPr>
      </w:pPr>
      <w:r w:rsidRPr="009B65FE">
        <w:rPr>
          <w:rFonts w:ascii="Arial" w:eastAsia="Times New Roman" w:hAnsi="Arial" w:cs="Arial"/>
          <w:b/>
          <w:lang w:eastAsia="en-GB"/>
        </w:rPr>
        <w:t>Council</w:t>
      </w:r>
      <w:r w:rsidRPr="00EE4620">
        <w:rPr>
          <w:rFonts w:ascii="Arial" w:eastAsia="Times New Roman" w:hAnsi="Arial" w:cs="Arial"/>
          <w:b/>
          <w:szCs w:val="20"/>
          <w:lang w:eastAsia="en-GB"/>
        </w:rPr>
        <w:t xml:space="preserve"> leaders</w:t>
      </w:r>
      <w:r w:rsidRPr="00EE4620">
        <w:rPr>
          <w:rFonts w:ascii="Arial" w:eastAsia="Times New Roman" w:hAnsi="Arial" w:cs="Arial"/>
          <w:szCs w:val="20"/>
          <w:lang w:eastAsia="en-GB"/>
        </w:rPr>
        <w:t xml:space="preserve"> are particularly likely to </w:t>
      </w:r>
      <w:r w:rsidR="000A08A0">
        <w:rPr>
          <w:rFonts w:ascii="Arial" w:eastAsia="Times New Roman" w:hAnsi="Arial" w:cs="Arial"/>
          <w:szCs w:val="20"/>
          <w:lang w:eastAsia="en-GB"/>
        </w:rPr>
        <w:t xml:space="preserve">be positive about the LGA as an </w:t>
      </w:r>
      <w:r w:rsidRPr="00EE4620">
        <w:rPr>
          <w:rFonts w:ascii="Arial" w:eastAsia="Times New Roman" w:hAnsi="Arial" w:cs="Arial"/>
          <w:szCs w:val="20"/>
          <w:lang w:eastAsia="en-GB"/>
        </w:rPr>
        <w:t>effective advocate for local government.</w:t>
      </w:r>
    </w:p>
    <w:p w14:paraId="18907B5B" w14:textId="77777777" w:rsidR="00EE4620" w:rsidRPr="00EE4620" w:rsidRDefault="00EE4620" w:rsidP="00EE4620">
      <w:pPr>
        <w:spacing w:after="0" w:line="240" w:lineRule="auto"/>
        <w:jc w:val="both"/>
        <w:rPr>
          <w:rFonts w:ascii="Arial" w:eastAsia="Times New Roman" w:hAnsi="Arial" w:cs="Arial"/>
          <w:szCs w:val="20"/>
          <w:lang w:eastAsia="en-GB"/>
        </w:rPr>
      </w:pPr>
    </w:p>
    <w:p w14:paraId="18907B5C" w14:textId="77777777" w:rsidR="00EE4620" w:rsidRPr="00EE4620" w:rsidRDefault="00EE4620" w:rsidP="00EE4620">
      <w:pPr>
        <w:spacing w:after="0" w:line="240" w:lineRule="auto"/>
        <w:rPr>
          <w:rFonts w:ascii="Arial" w:eastAsia="Times New Roman" w:hAnsi="Arial" w:cs="Arial"/>
          <w:szCs w:val="20"/>
          <w:lang w:eastAsia="en-GB"/>
        </w:rPr>
      </w:pPr>
    </w:p>
    <w:p w14:paraId="18907B5D" w14:textId="77777777" w:rsidR="00EE4620" w:rsidRPr="00EE4620" w:rsidRDefault="00EE4620" w:rsidP="00EE4620">
      <w:pPr>
        <w:spacing w:after="0" w:line="240" w:lineRule="auto"/>
        <w:jc w:val="both"/>
        <w:rPr>
          <w:rFonts w:ascii="Arial" w:eastAsia="Times New Roman" w:hAnsi="Arial" w:cs="Times New Roman"/>
          <w:b/>
          <w:lang w:eastAsia="en-GB"/>
        </w:rPr>
      </w:pPr>
    </w:p>
    <w:p w14:paraId="18907B5E" w14:textId="77777777" w:rsidR="00EE4620" w:rsidRPr="00EE4620" w:rsidRDefault="00EE4620" w:rsidP="00EE4620">
      <w:pPr>
        <w:spacing w:after="0" w:line="240" w:lineRule="auto"/>
        <w:jc w:val="both"/>
        <w:rPr>
          <w:rFonts w:ascii="Arial" w:eastAsia="Times New Roman" w:hAnsi="Arial" w:cs="Times New Roman"/>
          <w:b/>
          <w:lang w:eastAsia="en-GB"/>
        </w:rPr>
      </w:pPr>
    </w:p>
    <w:p w14:paraId="18907B5F" w14:textId="77777777" w:rsidR="00EE4620" w:rsidRPr="00EE4620" w:rsidRDefault="00EE4620" w:rsidP="00EE4620">
      <w:pPr>
        <w:spacing w:after="0" w:line="240" w:lineRule="auto"/>
        <w:jc w:val="both"/>
        <w:rPr>
          <w:rFonts w:ascii="Arial" w:eastAsia="Times New Roman" w:hAnsi="Arial" w:cs="Times New Roman"/>
          <w:b/>
          <w:lang w:eastAsia="en-GB"/>
        </w:rPr>
      </w:pPr>
    </w:p>
    <w:p w14:paraId="18907B60" w14:textId="77777777" w:rsidR="00EE4620" w:rsidRPr="00EE4620" w:rsidRDefault="00EE4620" w:rsidP="00EE4620">
      <w:pPr>
        <w:spacing w:after="0" w:line="240" w:lineRule="auto"/>
        <w:jc w:val="both"/>
        <w:rPr>
          <w:rFonts w:ascii="Arial" w:eastAsia="Times New Roman" w:hAnsi="Arial" w:cs="Times New Roman"/>
          <w:b/>
          <w:lang w:eastAsia="en-GB"/>
        </w:rPr>
      </w:pPr>
    </w:p>
    <w:p w14:paraId="18907B61" w14:textId="77777777" w:rsidR="00EE4620" w:rsidRPr="00EE4620" w:rsidRDefault="00EE4620" w:rsidP="00EE4620">
      <w:pPr>
        <w:spacing w:after="0" w:line="240" w:lineRule="auto"/>
        <w:jc w:val="both"/>
        <w:rPr>
          <w:rFonts w:ascii="Arial" w:eastAsia="Times New Roman" w:hAnsi="Arial" w:cs="Times New Roman"/>
          <w:b/>
          <w:lang w:eastAsia="en-GB"/>
        </w:rPr>
      </w:pPr>
    </w:p>
    <w:p w14:paraId="18907B62" w14:textId="77777777" w:rsidR="00EE4620" w:rsidRPr="00EE4620" w:rsidRDefault="00EE4620" w:rsidP="00EE4620">
      <w:pPr>
        <w:spacing w:after="0" w:line="240" w:lineRule="auto"/>
        <w:jc w:val="both"/>
        <w:rPr>
          <w:rFonts w:ascii="Arial" w:eastAsia="Times New Roman" w:hAnsi="Arial" w:cs="Times New Roman"/>
          <w:b/>
          <w:lang w:eastAsia="en-GB"/>
        </w:rPr>
      </w:pPr>
    </w:p>
    <w:p w14:paraId="18907B63" w14:textId="77777777" w:rsidR="00EE4620" w:rsidRPr="00EE4620" w:rsidRDefault="00EE4620" w:rsidP="00EE4620">
      <w:pPr>
        <w:spacing w:after="0" w:line="240" w:lineRule="auto"/>
        <w:jc w:val="both"/>
        <w:rPr>
          <w:rFonts w:ascii="Arial" w:eastAsia="Times New Roman" w:hAnsi="Arial" w:cs="Times New Roman"/>
          <w:b/>
          <w:lang w:eastAsia="en-GB"/>
        </w:rPr>
      </w:pPr>
    </w:p>
    <w:p w14:paraId="18907B64" w14:textId="77777777" w:rsidR="00EE4620" w:rsidRPr="00EE4620" w:rsidRDefault="00EE4620" w:rsidP="00EE4620">
      <w:pPr>
        <w:spacing w:after="0" w:line="240" w:lineRule="auto"/>
        <w:jc w:val="both"/>
        <w:rPr>
          <w:rFonts w:ascii="Arial" w:eastAsia="Times New Roman" w:hAnsi="Arial" w:cs="Times New Roman"/>
          <w:b/>
          <w:lang w:eastAsia="en-GB"/>
        </w:rPr>
      </w:pPr>
    </w:p>
    <w:p w14:paraId="18907B65" w14:textId="77777777" w:rsidR="00EE4620" w:rsidRPr="00EE4620" w:rsidRDefault="00EE4620" w:rsidP="00EE4620">
      <w:pPr>
        <w:spacing w:after="0" w:line="240" w:lineRule="auto"/>
        <w:jc w:val="both"/>
        <w:rPr>
          <w:rFonts w:ascii="Arial" w:eastAsia="Times New Roman" w:hAnsi="Arial" w:cs="Times New Roman"/>
          <w:b/>
          <w:lang w:eastAsia="en-GB"/>
        </w:rPr>
      </w:pPr>
    </w:p>
    <w:p w14:paraId="18907B66" w14:textId="77777777" w:rsidR="00EE4620" w:rsidRPr="00EE4620" w:rsidRDefault="00EE4620" w:rsidP="00EE4620">
      <w:pPr>
        <w:spacing w:after="0" w:line="240" w:lineRule="auto"/>
        <w:jc w:val="both"/>
        <w:rPr>
          <w:rFonts w:ascii="Arial" w:eastAsia="Times New Roman" w:hAnsi="Arial" w:cs="Times New Roman"/>
          <w:b/>
          <w:lang w:eastAsia="en-GB"/>
        </w:rPr>
      </w:pPr>
    </w:p>
    <w:p w14:paraId="18907B67" w14:textId="77777777" w:rsidR="00EE4620" w:rsidRPr="00EE4620" w:rsidRDefault="00EE4620" w:rsidP="00EE4620">
      <w:pPr>
        <w:spacing w:after="0" w:line="240" w:lineRule="auto"/>
        <w:jc w:val="both"/>
        <w:rPr>
          <w:rFonts w:ascii="Arial" w:eastAsia="Times New Roman" w:hAnsi="Arial" w:cs="Times New Roman"/>
          <w:b/>
          <w:lang w:eastAsia="en-GB"/>
        </w:rPr>
      </w:pPr>
    </w:p>
    <w:p w14:paraId="18907B68" w14:textId="77777777" w:rsidR="00EE4620" w:rsidRPr="00EE4620" w:rsidRDefault="00EE4620" w:rsidP="00EE4620">
      <w:pPr>
        <w:spacing w:after="0" w:line="240" w:lineRule="auto"/>
        <w:jc w:val="both"/>
        <w:rPr>
          <w:rFonts w:ascii="Arial" w:eastAsia="Times New Roman" w:hAnsi="Arial" w:cs="Times New Roman"/>
          <w:b/>
          <w:lang w:eastAsia="en-GB"/>
        </w:rPr>
      </w:pPr>
    </w:p>
    <w:p w14:paraId="18907B69" w14:textId="77777777" w:rsidR="00EE4620" w:rsidRPr="00EE4620" w:rsidRDefault="00EE4620" w:rsidP="00EE4620">
      <w:pPr>
        <w:spacing w:after="0" w:line="240" w:lineRule="auto"/>
        <w:jc w:val="both"/>
        <w:rPr>
          <w:rFonts w:ascii="Arial" w:eastAsia="Times New Roman" w:hAnsi="Arial" w:cs="Times New Roman"/>
          <w:b/>
          <w:lang w:eastAsia="en-GB"/>
        </w:rPr>
      </w:pPr>
    </w:p>
    <w:p w14:paraId="18907B6A" w14:textId="77777777" w:rsidR="00EE4620" w:rsidRPr="00EE4620" w:rsidRDefault="00EE4620" w:rsidP="00EE4620">
      <w:pPr>
        <w:spacing w:after="0" w:line="240" w:lineRule="auto"/>
        <w:jc w:val="both"/>
        <w:rPr>
          <w:rFonts w:ascii="Arial" w:eastAsia="Times New Roman" w:hAnsi="Arial" w:cs="Times New Roman"/>
          <w:b/>
          <w:lang w:eastAsia="en-GB"/>
        </w:rPr>
      </w:pPr>
    </w:p>
    <w:p w14:paraId="18907B6B" w14:textId="77777777" w:rsidR="00EE4620" w:rsidRPr="00EE4620" w:rsidRDefault="00EE4620" w:rsidP="00EE4620">
      <w:pPr>
        <w:spacing w:after="0" w:line="240" w:lineRule="auto"/>
        <w:jc w:val="both"/>
        <w:rPr>
          <w:rFonts w:ascii="Arial" w:eastAsia="Times New Roman" w:hAnsi="Arial" w:cs="Times New Roman"/>
          <w:b/>
          <w:lang w:eastAsia="en-GB"/>
        </w:rPr>
      </w:pPr>
    </w:p>
    <w:p w14:paraId="18907B6C" w14:textId="77777777" w:rsidR="00EE4620" w:rsidRPr="00EE4620" w:rsidRDefault="00EE4620" w:rsidP="00EE4620">
      <w:pPr>
        <w:spacing w:after="0" w:line="240" w:lineRule="auto"/>
        <w:jc w:val="both"/>
        <w:rPr>
          <w:rFonts w:ascii="Arial" w:eastAsia="Times New Roman" w:hAnsi="Arial" w:cs="Times New Roman"/>
          <w:b/>
          <w:lang w:eastAsia="en-GB"/>
        </w:rPr>
      </w:pPr>
    </w:p>
    <w:p w14:paraId="18907B6D" w14:textId="77777777" w:rsidR="00EE4620" w:rsidRPr="00EE4620" w:rsidRDefault="00EE4620" w:rsidP="00EE4620">
      <w:pPr>
        <w:spacing w:after="0" w:line="240" w:lineRule="auto"/>
        <w:jc w:val="both"/>
        <w:rPr>
          <w:rFonts w:ascii="Arial" w:eastAsia="Times New Roman" w:hAnsi="Arial" w:cs="Times New Roman"/>
          <w:b/>
          <w:lang w:eastAsia="en-GB"/>
        </w:rPr>
      </w:pPr>
    </w:p>
    <w:p w14:paraId="18907B6E" w14:textId="77777777" w:rsidR="00EE4620" w:rsidRPr="00EE4620" w:rsidRDefault="00EE4620" w:rsidP="00EE4620">
      <w:pPr>
        <w:spacing w:after="0" w:line="240" w:lineRule="auto"/>
        <w:jc w:val="both"/>
        <w:rPr>
          <w:rFonts w:ascii="Arial" w:eastAsia="Times New Roman" w:hAnsi="Arial" w:cs="Times New Roman"/>
          <w:b/>
          <w:lang w:eastAsia="en-GB"/>
        </w:rPr>
      </w:pPr>
    </w:p>
    <w:p w14:paraId="18907B6F" w14:textId="77777777" w:rsidR="00EE4620" w:rsidRDefault="00EE4620" w:rsidP="00EE4620">
      <w:pPr>
        <w:spacing w:after="0" w:line="240" w:lineRule="auto"/>
        <w:jc w:val="both"/>
        <w:rPr>
          <w:rFonts w:ascii="Arial" w:eastAsia="Times New Roman" w:hAnsi="Arial" w:cs="Times New Roman"/>
          <w:b/>
          <w:lang w:eastAsia="en-GB"/>
        </w:rPr>
      </w:pPr>
      <w:r>
        <w:rPr>
          <w:rFonts w:ascii="Arial" w:eastAsia="Times New Roman" w:hAnsi="Arial" w:cs="Times New Roman"/>
          <w:b/>
          <w:lang w:eastAsia="en-GB"/>
        </w:rPr>
        <w:br w:type="page"/>
      </w:r>
    </w:p>
    <w:p w14:paraId="18907B70" w14:textId="77777777" w:rsidR="00EE4620" w:rsidRPr="00EE4620" w:rsidRDefault="00EE4620" w:rsidP="00EE4620">
      <w:pPr>
        <w:spacing w:after="0" w:line="240" w:lineRule="auto"/>
        <w:jc w:val="both"/>
        <w:rPr>
          <w:rFonts w:ascii="Arial" w:eastAsia="Times New Roman" w:hAnsi="Arial" w:cs="Arial"/>
          <w:sz w:val="24"/>
          <w:szCs w:val="24"/>
          <w:lang w:eastAsia="en-GB"/>
        </w:rPr>
      </w:pPr>
      <w:r w:rsidRPr="00EE4620">
        <w:rPr>
          <w:rFonts w:ascii="Arial" w:eastAsia="Times New Roman" w:hAnsi="Arial" w:cs="Times New Roman"/>
          <w:b/>
          <w:lang w:eastAsia="en-GB"/>
        </w:rPr>
        <w:lastRenderedPageBreak/>
        <w:t xml:space="preserve">Table 8 – Based on what you know, to what extent, if at all, has the LGA been an effective advocate for the interests of the local government sector?  </w:t>
      </w:r>
    </w:p>
    <w:p w14:paraId="18907B71" w14:textId="77777777" w:rsidR="00EE4620" w:rsidRPr="00EE4620" w:rsidRDefault="00EE4620" w:rsidP="00EE4620">
      <w:pPr>
        <w:spacing w:after="0" w:line="240" w:lineRule="auto"/>
        <w:jc w:val="both"/>
        <w:rPr>
          <w:rFonts w:ascii="Arial" w:eastAsia="Times New Roman" w:hAnsi="Arial" w:cs="Arial"/>
          <w:sz w:val="24"/>
          <w:szCs w:val="24"/>
          <w:lang w:eastAsia="en-GB"/>
        </w:rPr>
      </w:pPr>
      <w:r w:rsidRPr="00EE4620">
        <w:rPr>
          <w:rFonts w:ascii="Arial" w:eastAsia="Times New Roman" w:hAnsi="Arial" w:cs="Times New Roman"/>
          <w:noProof/>
          <w:sz w:val="24"/>
          <w:szCs w:val="20"/>
          <w:lang w:eastAsia="en-GB"/>
        </w:rPr>
        <w:drawing>
          <wp:inline distT="0" distB="0" distL="0" distR="0" wp14:anchorId="18907CFA" wp14:editId="18907CFB">
            <wp:extent cx="5274310" cy="4485005"/>
            <wp:effectExtent l="0" t="0" r="2540" b="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8907B72" w14:textId="77777777" w:rsidR="00EE4620" w:rsidRPr="00EE4620" w:rsidRDefault="00EE4620" w:rsidP="00EE4620">
      <w:pPr>
        <w:spacing w:after="0" w:line="240" w:lineRule="auto"/>
        <w:jc w:val="both"/>
        <w:rPr>
          <w:rFonts w:ascii="Arial" w:eastAsia="Times New Roman" w:hAnsi="Arial" w:cs="Arial"/>
          <w:b/>
          <w:sz w:val="24"/>
          <w:szCs w:val="24"/>
          <w:lang w:eastAsia="en-GB"/>
        </w:rPr>
      </w:pPr>
    </w:p>
    <w:p w14:paraId="18907B73" w14:textId="77777777" w:rsidR="00EE4620" w:rsidRPr="00EE4620" w:rsidRDefault="00EE4620" w:rsidP="00EE4620">
      <w:pPr>
        <w:spacing w:after="0" w:line="240" w:lineRule="auto"/>
        <w:rPr>
          <w:rFonts w:ascii="Arial" w:eastAsia="Times New Roman" w:hAnsi="Arial" w:cs="Times New Roman"/>
          <w:b/>
          <w:sz w:val="24"/>
          <w:szCs w:val="20"/>
          <w:lang w:eastAsia="en-GB"/>
        </w:rPr>
      </w:pPr>
      <w:r w:rsidRPr="00EE4620">
        <w:rPr>
          <w:rFonts w:ascii="Arial" w:eastAsia="Times New Roman" w:hAnsi="Arial" w:cs="Times New Roman"/>
          <w:b/>
          <w:sz w:val="24"/>
          <w:szCs w:val="20"/>
          <w:lang w:eastAsia="en-GB"/>
        </w:rPr>
        <w:t>Benefits of relationship with the LGA</w:t>
      </w:r>
    </w:p>
    <w:p w14:paraId="18907B74" w14:textId="77777777" w:rsidR="00EE4620" w:rsidRPr="00EE4620" w:rsidRDefault="00EE4620" w:rsidP="00EE4620">
      <w:pPr>
        <w:spacing w:after="0" w:line="240" w:lineRule="auto"/>
        <w:rPr>
          <w:rFonts w:ascii="Arial" w:eastAsia="Times New Roman" w:hAnsi="Arial" w:cs="Times New Roman"/>
          <w:lang w:eastAsia="en-GB"/>
        </w:rPr>
      </w:pPr>
    </w:p>
    <w:p w14:paraId="18907B75" w14:textId="0810EDCE" w:rsidR="00EE4620" w:rsidRPr="00EE4620" w:rsidRDefault="00EE4620" w:rsidP="00FC2278">
      <w:pPr>
        <w:numPr>
          <w:ilvl w:val="0"/>
          <w:numId w:val="3"/>
        </w:numPr>
        <w:spacing w:before="120" w:after="360" w:line="240" w:lineRule="auto"/>
        <w:ind w:left="567" w:hanging="567"/>
        <w:contextualSpacing/>
        <w:rPr>
          <w:rFonts w:ascii="Arial" w:eastAsia="Times New Roman" w:hAnsi="Arial" w:cs="Times New Roman"/>
          <w:lang w:eastAsia="en-GB"/>
        </w:rPr>
      </w:pPr>
      <w:r w:rsidRPr="00EE4620">
        <w:rPr>
          <w:rFonts w:ascii="Arial" w:eastAsia="Times New Roman" w:hAnsi="Arial" w:cs="Times New Roman"/>
          <w:lang w:eastAsia="en-GB"/>
        </w:rPr>
        <w:t>When asked the extent to which they believe their authority benefited from its relationship with the LGA, more than half (</w:t>
      </w:r>
      <w:r w:rsidRPr="00EE4620">
        <w:rPr>
          <w:rFonts w:ascii="Arial" w:eastAsia="Times New Roman" w:hAnsi="Arial" w:cs="Times New Roman"/>
          <w:b/>
          <w:lang w:eastAsia="en-GB"/>
        </w:rPr>
        <w:t>67 per cent</w:t>
      </w:r>
      <w:r w:rsidRPr="00EE4620">
        <w:rPr>
          <w:rFonts w:ascii="Arial" w:eastAsia="Times New Roman" w:hAnsi="Arial" w:cs="Times New Roman"/>
          <w:lang w:eastAsia="en-GB"/>
        </w:rPr>
        <w:t>) reported ‘a fair amount’ or ‘a great deal’.   The proportion responding that their organisation benefits ‘a great deal’ is significantly higher (</w:t>
      </w:r>
      <w:r w:rsidRPr="00EE4620">
        <w:rPr>
          <w:rFonts w:ascii="Arial" w:eastAsia="Times New Roman" w:hAnsi="Arial" w:cs="Times New Roman"/>
          <w:b/>
          <w:lang w:eastAsia="en-GB"/>
        </w:rPr>
        <w:t>15 per cent</w:t>
      </w:r>
      <w:r w:rsidRPr="00EE4620">
        <w:rPr>
          <w:rFonts w:ascii="Arial" w:eastAsia="Times New Roman" w:hAnsi="Arial" w:cs="Times New Roman"/>
          <w:lang w:eastAsia="en-GB"/>
        </w:rPr>
        <w:t>) than in 2012 (11 per cent).</w:t>
      </w:r>
    </w:p>
    <w:p w14:paraId="18907B76" w14:textId="77777777" w:rsidR="00EE4620" w:rsidRPr="00EE4620" w:rsidRDefault="00EE4620" w:rsidP="00EE4620">
      <w:pPr>
        <w:spacing w:after="0" w:line="240" w:lineRule="auto"/>
        <w:rPr>
          <w:rFonts w:ascii="Arial" w:eastAsia="Times New Roman" w:hAnsi="Arial" w:cs="Times New Roman"/>
          <w:lang w:eastAsia="en-GB"/>
        </w:rPr>
      </w:pPr>
    </w:p>
    <w:p w14:paraId="18907B77" w14:textId="1061211A" w:rsidR="00EE4620" w:rsidRPr="00EE4620" w:rsidRDefault="00EE4620" w:rsidP="00FC2278">
      <w:pPr>
        <w:numPr>
          <w:ilvl w:val="0"/>
          <w:numId w:val="3"/>
        </w:numPr>
        <w:spacing w:before="120" w:after="360" w:line="240" w:lineRule="auto"/>
        <w:ind w:left="567" w:hanging="567"/>
        <w:contextualSpacing/>
        <w:rPr>
          <w:rFonts w:ascii="Arial" w:eastAsia="Times New Roman" w:hAnsi="Arial" w:cs="Times New Roman"/>
          <w:lang w:eastAsia="en-GB"/>
        </w:rPr>
      </w:pPr>
      <w:r w:rsidRPr="00EE4620">
        <w:rPr>
          <w:rFonts w:ascii="Arial" w:eastAsia="Times New Roman" w:hAnsi="Arial" w:cs="Times New Roman"/>
          <w:lang w:eastAsia="en-GB"/>
        </w:rPr>
        <w:t xml:space="preserve">Respondents in the </w:t>
      </w:r>
      <w:r w:rsidRPr="00EE4620">
        <w:rPr>
          <w:rFonts w:ascii="Arial" w:eastAsia="Times New Roman" w:hAnsi="Arial" w:cs="Times New Roman"/>
          <w:b/>
          <w:lang w:eastAsia="en-GB"/>
        </w:rPr>
        <w:t>South West</w:t>
      </w:r>
      <w:r w:rsidRPr="00EE4620">
        <w:rPr>
          <w:rFonts w:ascii="Arial" w:eastAsia="Times New Roman" w:hAnsi="Arial" w:cs="Times New Roman"/>
          <w:lang w:eastAsia="en-GB"/>
        </w:rPr>
        <w:t xml:space="preserve"> are significantly more likely than those in </w:t>
      </w:r>
      <w:r w:rsidRPr="00EE4620">
        <w:rPr>
          <w:rFonts w:ascii="Arial" w:eastAsia="Times New Roman" w:hAnsi="Arial" w:cs="Times New Roman"/>
          <w:lang w:eastAsia="en-GB"/>
        </w:rPr>
        <w:tab/>
        <w:t>most other regions to say their authority benefits from its relationship with the LGA (</w:t>
      </w:r>
      <w:r w:rsidRPr="00EE4620">
        <w:rPr>
          <w:rFonts w:ascii="Arial" w:eastAsia="Times New Roman" w:hAnsi="Arial" w:cs="Times New Roman"/>
          <w:b/>
          <w:lang w:eastAsia="en-GB"/>
        </w:rPr>
        <w:t>82 per cent</w:t>
      </w:r>
      <w:r w:rsidRPr="00EE4620">
        <w:rPr>
          <w:rFonts w:ascii="Arial" w:eastAsia="Times New Roman" w:hAnsi="Arial" w:cs="Times New Roman"/>
          <w:lang w:eastAsia="en-GB"/>
        </w:rPr>
        <w:t xml:space="preserve"> compared with an average of 67 per cent).</w:t>
      </w:r>
    </w:p>
    <w:p w14:paraId="18907B78" w14:textId="77777777" w:rsidR="00EE4620" w:rsidRPr="00EE4620" w:rsidRDefault="00EE4620" w:rsidP="00EE4620">
      <w:pPr>
        <w:spacing w:after="0" w:line="240" w:lineRule="auto"/>
        <w:rPr>
          <w:rFonts w:ascii="Arial" w:eastAsia="Times New Roman" w:hAnsi="Arial" w:cs="Times New Roman"/>
          <w:color w:val="FF0000"/>
          <w:lang w:eastAsia="en-GB"/>
        </w:rPr>
      </w:pPr>
    </w:p>
    <w:p w14:paraId="18907B79" w14:textId="77777777" w:rsidR="00EE4620" w:rsidRPr="00EE4620" w:rsidRDefault="00EE4620" w:rsidP="00EE4620">
      <w:pPr>
        <w:spacing w:after="0" w:line="240" w:lineRule="auto"/>
        <w:jc w:val="both"/>
        <w:rPr>
          <w:rFonts w:ascii="Arial" w:eastAsia="Times New Roman" w:hAnsi="Arial" w:cs="Arial"/>
          <w:b/>
          <w:lang w:eastAsia="en-GB"/>
        </w:rPr>
      </w:pPr>
    </w:p>
    <w:p w14:paraId="18907B7A" w14:textId="77777777" w:rsidR="00EE4620" w:rsidRPr="00EE4620" w:rsidRDefault="00EE4620" w:rsidP="00EE4620">
      <w:pPr>
        <w:spacing w:after="0" w:line="240" w:lineRule="auto"/>
        <w:jc w:val="both"/>
        <w:rPr>
          <w:rFonts w:ascii="Arial" w:eastAsia="Times New Roman" w:hAnsi="Arial" w:cs="Arial"/>
          <w:b/>
          <w:lang w:eastAsia="en-GB"/>
        </w:rPr>
      </w:pPr>
    </w:p>
    <w:p w14:paraId="18907B7B" w14:textId="77777777" w:rsidR="00EE4620" w:rsidRPr="00EE4620" w:rsidRDefault="00EE4620" w:rsidP="00EE4620">
      <w:pPr>
        <w:spacing w:after="0" w:line="240" w:lineRule="auto"/>
        <w:jc w:val="both"/>
        <w:rPr>
          <w:rFonts w:ascii="Arial" w:eastAsia="Times New Roman" w:hAnsi="Arial" w:cs="Arial"/>
          <w:b/>
          <w:lang w:eastAsia="en-GB"/>
        </w:rPr>
      </w:pPr>
    </w:p>
    <w:p w14:paraId="18907B7C" w14:textId="77777777" w:rsidR="00EE4620" w:rsidRPr="00EE4620" w:rsidRDefault="00EE4620" w:rsidP="00EE4620">
      <w:pPr>
        <w:spacing w:after="0" w:line="240" w:lineRule="auto"/>
        <w:jc w:val="both"/>
        <w:rPr>
          <w:rFonts w:ascii="Arial" w:eastAsia="Times New Roman" w:hAnsi="Arial" w:cs="Arial"/>
          <w:b/>
          <w:lang w:eastAsia="en-GB"/>
        </w:rPr>
      </w:pPr>
    </w:p>
    <w:p w14:paraId="18907B7D" w14:textId="77777777" w:rsidR="00EE4620" w:rsidRPr="00EE4620" w:rsidRDefault="00EE4620" w:rsidP="00EE4620">
      <w:pPr>
        <w:spacing w:after="0" w:line="240" w:lineRule="auto"/>
        <w:jc w:val="both"/>
        <w:rPr>
          <w:rFonts w:ascii="Arial" w:eastAsia="Times New Roman" w:hAnsi="Arial" w:cs="Arial"/>
          <w:b/>
          <w:lang w:eastAsia="en-GB"/>
        </w:rPr>
      </w:pPr>
    </w:p>
    <w:p w14:paraId="18907B7E" w14:textId="77777777" w:rsidR="00EE4620" w:rsidRPr="00EE4620" w:rsidRDefault="00EE4620" w:rsidP="00EE4620">
      <w:pPr>
        <w:spacing w:after="0" w:line="240" w:lineRule="auto"/>
        <w:jc w:val="both"/>
        <w:rPr>
          <w:rFonts w:ascii="Arial" w:eastAsia="Times New Roman" w:hAnsi="Arial" w:cs="Arial"/>
          <w:b/>
          <w:lang w:eastAsia="en-GB"/>
        </w:rPr>
      </w:pPr>
    </w:p>
    <w:p w14:paraId="18907B7F" w14:textId="77777777" w:rsidR="00EE4620" w:rsidRPr="00EE4620" w:rsidRDefault="00EE4620" w:rsidP="00EE4620">
      <w:pPr>
        <w:spacing w:after="0" w:line="240" w:lineRule="auto"/>
        <w:jc w:val="both"/>
        <w:rPr>
          <w:rFonts w:ascii="Arial" w:eastAsia="Times New Roman" w:hAnsi="Arial" w:cs="Arial"/>
          <w:b/>
          <w:lang w:eastAsia="en-GB"/>
        </w:rPr>
      </w:pPr>
      <w:r w:rsidRPr="00EE4620">
        <w:rPr>
          <w:rFonts w:ascii="Arial" w:eastAsia="Times New Roman" w:hAnsi="Arial" w:cs="Arial"/>
          <w:b/>
          <w:lang w:eastAsia="en-GB"/>
        </w:rPr>
        <w:br w:type="page"/>
      </w:r>
    </w:p>
    <w:p w14:paraId="18907B80" w14:textId="77777777" w:rsidR="00EE4620" w:rsidRPr="00EE4620" w:rsidRDefault="00EE4620" w:rsidP="00EE4620">
      <w:pPr>
        <w:spacing w:after="0" w:line="240" w:lineRule="auto"/>
        <w:jc w:val="both"/>
        <w:rPr>
          <w:rFonts w:ascii="Arial" w:eastAsia="Times New Roman" w:hAnsi="Arial" w:cs="Arial"/>
          <w:b/>
          <w:sz w:val="24"/>
          <w:szCs w:val="24"/>
          <w:lang w:eastAsia="en-GB"/>
        </w:rPr>
      </w:pPr>
      <w:r w:rsidRPr="00EE4620">
        <w:rPr>
          <w:rFonts w:ascii="Arial" w:eastAsia="Times New Roman" w:hAnsi="Arial" w:cs="Arial"/>
          <w:b/>
          <w:lang w:eastAsia="en-GB"/>
        </w:rPr>
        <w:lastRenderedPageBreak/>
        <w:t xml:space="preserve">Table 9 – To what extent would you say your authority benefits from its relationship with the LGA?  </w:t>
      </w:r>
    </w:p>
    <w:p w14:paraId="18907B81" w14:textId="77777777" w:rsidR="00EE4620" w:rsidRPr="00EE4620" w:rsidRDefault="00EE4620" w:rsidP="00EE4620">
      <w:pPr>
        <w:spacing w:after="0" w:line="240" w:lineRule="auto"/>
        <w:rPr>
          <w:rFonts w:ascii="Arial" w:eastAsia="Times New Roman" w:hAnsi="Arial" w:cs="Arial"/>
          <w:sz w:val="24"/>
          <w:szCs w:val="24"/>
          <w:lang w:eastAsia="en-GB"/>
        </w:rPr>
      </w:pPr>
      <w:r w:rsidRPr="00EE4620">
        <w:rPr>
          <w:rFonts w:ascii="Arial" w:eastAsia="Times New Roman" w:hAnsi="Arial" w:cs="Arial"/>
          <w:noProof/>
          <w:sz w:val="24"/>
          <w:szCs w:val="24"/>
          <w:lang w:eastAsia="en-GB"/>
        </w:rPr>
        <w:drawing>
          <wp:inline distT="0" distB="0" distL="0" distR="0" wp14:anchorId="18907CFC" wp14:editId="18907CFD">
            <wp:extent cx="5888990" cy="54317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8990" cy="5431790"/>
                    </a:xfrm>
                    <a:prstGeom prst="rect">
                      <a:avLst/>
                    </a:prstGeom>
                    <a:noFill/>
                  </pic:spPr>
                </pic:pic>
              </a:graphicData>
            </a:graphic>
          </wp:inline>
        </w:drawing>
      </w:r>
    </w:p>
    <w:p w14:paraId="18907B82" w14:textId="77777777" w:rsidR="00EE4620" w:rsidRPr="00EE4620" w:rsidRDefault="00EE4620" w:rsidP="00EE4620">
      <w:pPr>
        <w:spacing w:after="0" w:line="240" w:lineRule="auto"/>
        <w:rPr>
          <w:rFonts w:ascii="Arial" w:eastAsia="Times New Roman" w:hAnsi="Arial" w:cs="Arial"/>
          <w:sz w:val="24"/>
          <w:szCs w:val="24"/>
          <w:lang w:eastAsia="en-GB"/>
        </w:rPr>
      </w:pPr>
    </w:p>
    <w:p w14:paraId="18907B83" w14:textId="4F44ECE4" w:rsidR="00EE4620" w:rsidRPr="00EE4620" w:rsidRDefault="00FC2278" w:rsidP="00FC2278">
      <w:pPr>
        <w:numPr>
          <w:ilvl w:val="0"/>
          <w:numId w:val="3"/>
        </w:numPr>
        <w:spacing w:before="120" w:after="360" w:line="240" w:lineRule="auto"/>
        <w:ind w:left="567" w:hanging="567"/>
        <w:contextualSpacing/>
        <w:rPr>
          <w:rFonts w:ascii="Arial" w:eastAsia="Times New Roman" w:hAnsi="Arial" w:cs="Arial"/>
          <w:lang w:eastAsia="en-GB"/>
        </w:rPr>
      </w:pPr>
      <w:r>
        <w:rPr>
          <w:rFonts w:ascii="Arial" w:eastAsia="Times New Roman" w:hAnsi="Arial" w:cs="Arial"/>
          <w:lang w:eastAsia="en-GB"/>
        </w:rPr>
        <w:t>R</w:t>
      </w:r>
      <w:r w:rsidR="00EE4620" w:rsidRPr="00EE4620">
        <w:rPr>
          <w:rFonts w:ascii="Arial" w:eastAsia="Times New Roman" w:hAnsi="Arial" w:cs="Arial"/>
          <w:lang w:eastAsia="en-GB"/>
        </w:rPr>
        <w:t>espondents who reported that their authority ‘did not benefit at all’ or ‘not very much’ were asked why they believed this</w:t>
      </w:r>
      <w:r w:rsidR="000A08A0">
        <w:rPr>
          <w:rFonts w:ascii="Arial" w:eastAsia="Times New Roman" w:hAnsi="Arial" w:cs="Arial"/>
          <w:lang w:eastAsia="en-GB"/>
        </w:rPr>
        <w:t xml:space="preserve"> was the case.  Their responses </w:t>
      </w:r>
      <w:r w:rsidR="00EE4620" w:rsidRPr="00EE4620">
        <w:rPr>
          <w:rFonts w:ascii="Arial" w:eastAsia="Times New Roman" w:hAnsi="Arial" w:cs="Arial"/>
          <w:lang w:eastAsia="en-GB"/>
        </w:rPr>
        <w:t>are summarised below:</w:t>
      </w:r>
    </w:p>
    <w:p w14:paraId="18907B84" w14:textId="77777777" w:rsidR="00EE4620" w:rsidRPr="00EE4620" w:rsidRDefault="00EE4620" w:rsidP="00EE4620">
      <w:pPr>
        <w:spacing w:after="0" w:line="240" w:lineRule="auto"/>
        <w:rPr>
          <w:rFonts w:ascii="Arial" w:eastAsia="Times New Roman" w:hAnsi="Arial" w:cs="Arial"/>
          <w:sz w:val="24"/>
          <w:szCs w:val="24"/>
          <w:lang w:eastAsia="en-GB"/>
        </w:rPr>
      </w:pPr>
    </w:p>
    <w:p w14:paraId="18907B85" w14:textId="77777777" w:rsidR="00EE4620" w:rsidRPr="00EE4620" w:rsidRDefault="00EE4620" w:rsidP="00EE4620">
      <w:pPr>
        <w:spacing w:after="0" w:line="240" w:lineRule="auto"/>
        <w:rPr>
          <w:rFonts w:ascii="Arial" w:eastAsia="Times New Roman" w:hAnsi="Arial" w:cs="Arial"/>
          <w:sz w:val="24"/>
          <w:szCs w:val="24"/>
          <w:lang w:eastAsia="en-GB"/>
        </w:rPr>
      </w:pPr>
    </w:p>
    <w:p w14:paraId="18907B86" w14:textId="77777777" w:rsidR="00EE4620" w:rsidRPr="00EE4620" w:rsidRDefault="00EE4620" w:rsidP="00EE4620">
      <w:pPr>
        <w:spacing w:after="0" w:line="240" w:lineRule="auto"/>
        <w:rPr>
          <w:rFonts w:ascii="Arial" w:eastAsia="Times New Roman" w:hAnsi="Arial" w:cs="Arial"/>
          <w:sz w:val="24"/>
          <w:szCs w:val="24"/>
          <w:lang w:eastAsia="en-GB"/>
        </w:rPr>
      </w:pPr>
    </w:p>
    <w:p w14:paraId="18907B87" w14:textId="77777777" w:rsidR="00EE4620" w:rsidRPr="00EE4620" w:rsidRDefault="00EE4620" w:rsidP="00EE4620">
      <w:pPr>
        <w:spacing w:after="0" w:line="240" w:lineRule="auto"/>
        <w:rPr>
          <w:rFonts w:ascii="Arial" w:eastAsia="Times New Roman" w:hAnsi="Arial" w:cs="Arial"/>
          <w:sz w:val="24"/>
          <w:szCs w:val="24"/>
          <w:lang w:eastAsia="en-GB"/>
        </w:rPr>
      </w:pPr>
    </w:p>
    <w:p w14:paraId="18907B88" w14:textId="77777777" w:rsidR="00EE4620" w:rsidRPr="00EE4620" w:rsidRDefault="00EE4620" w:rsidP="00EE4620">
      <w:pPr>
        <w:spacing w:after="0" w:line="240" w:lineRule="auto"/>
        <w:rPr>
          <w:rFonts w:ascii="Arial" w:eastAsia="Times New Roman" w:hAnsi="Arial" w:cs="Arial"/>
          <w:sz w:val="24"/>
          <w:szCs w:val="24"/>
          <w:lang w:eastAsia="en-GB"/>
        </w:rPr>
      </w:pPr>
    </w:p>
    <w:p w14:paraId="18907B89" w14:textId="77777777" w:rsidR="00EE4620" w:rsidRPr="00EE4620" w:rsidRDefault="00EE4620" w:rsidP="00EE4620">
      <w:pPr>
        <w:spacing w:after="0" w:line="240" w:lineRule="auto"/>
        <w:rPr>
          <w:rFonts w:ascii="Arial" w:eastAsia="Times New Roman" w:hAnsi="Arial" w:cs="Arial"/>
          <w:sz w:val="24"/>
          <w:szCs w:val="24"/>
          <w:lang w:eastAsia="en-GB"/>
        </w:rPr>
      </w:pPr>
    </w:p>
    <w:p w14:paraId="18907B8A" w14:textId="77777777" w:rsidR="00EE4620" w:rsidRPr="00EE4620" w:rsidRDefault="00EE4620" w:rsidP="00EE4620">
      <w:pPr>
        <w:spacing w:after="0" w:line="240" w:lineRule="auto"/>
        <w:rPr>
          <w:rFonts w:ascii="Arial" w:eastAsia="Times New Roman" w:hAnsi="Arial" w:cs="Arial"/>
          <w:sz w:val="24"/>
          <w:szCs w:val="24"/>
          <w:lang w:eastAsia="en-GB"/>
        </w:rPr>
      </w:pPr>
    </w:p>
    <w:p w14:paraId="18907B8B" w14:textId="77777777" w:rsidR="00EE4620" w:rsidRPr="00EE4620" w:rsidRDefault="00EE4620" w:rsidP="00EE4620">
      <w:pPr>
        <w:spacing w:after="0" w:line="240" w:lineRule="auto"/>
        <w:rPr>
          <w:rFonts w:ascii="Arial" w:eastAsia="Times New Roman" w:hAnsi="Arial" w:cs="Arial"/>
          <w:sz w:val="24"/>
          <w:szCs w:val="24"/>
          <w:lang w:eastAsia="en-GB"/>
        </w:rPr>
      </w:pPr>
    </w:p>
    <w:p w14:paraId="18907B8C" w14:textId="77777777" w:rsidR="00EE4620" w:rsidRPr="00EE4620" w:rsidRDefault="00EE4620" w:rsidP="00EE4620">
      <w:pPr>
        <w:spacing w:after="0" w:line="240" w:lineRule="auto"/>
        <w:rPr>
          <w:rFonts w:ascii="Arial" w:eastAsia="Times New Roman" w:hAnsi="Arial" w:cs="Arial"/>
          <w:sz w:val="24"/>
          <w:szCs w:val="24"/>
          <w:lang w:eastAsia="en-GB"/>
        </w:rPr>
      </w:pPr>
    </w:p>
    <w:p w14:paraId="18907B8D" w14:textId="77777777" w:rsidR="00EE4620" w:rsidRPr="00EE4620" w:rsidRDefault="00EE4620" w:rsidP="00EE4620">
      <w:pPr>
        <w:spacing w:after="0" w:line="240" w:lineRule="auto"/>
        <w:rPr>
          <w:rFonts w:ascii="Arial" w:eastAsia="Times New Roman" w:hAnsi="Arial" w:cs="Arial"/>
          <w:b/>
          <w:lang w:eastAsia="en-GB"/>
        </w:rPr>
      </w:pPr>
      <w:r w:rsidRPr="00EE4620">
        <w:rPr>
          <w:rFonts w:ascii="Arial" w:eastAsia="Times New Roman" w:hAnsi="Arial" w:cs="Arial"/>
          <w:b/>
          <w:lang w:eastAsia="en-GB"/>
        </w:rPr>
        <w:lastRenderedPageBreak/>
        <w:t>Table 10 – You said your authority benefits ‘not very much’ or ‘not at all’ from its relationship with LGA (* denotes less than 0.5%)</w:t>
      </w:r>
    </w:p>
    <w:p w14:paraId="18907B8E" w14:textId="77777777" w:rsidR="00EE4620" w:rsidRPr="00EE4620" w:rsidRDefault="00EE4620" w:rsidP="00EE4620">
      <w:pPr>
        <w:spacing w:after="0" w:line="240" w:lineRule="auto"/>
        <w:rPr>
          <w:rFonts w:ascii="Arial" w:eastAsia="Times New Roman" w:hAnsi="Arial" w:cs="Arial"/>
          <w:sz w:val="24"/>
          <w:szCs w:val="24"/>
          <w:lang w:eastAsia="en-GB"/>
        </w:rPr>
      </w:pPr>
      <w:r w:rsidRPr="00EE4620">
        <w:rPr>
          <w:rFonts w:ascii="Arial" w:eastAsia="Times New Roman" w:hAnsi="Arial" w:cs="Arial"/>
          <w:noProof/>
          <w:sz w:val="24"/>
          <w:szCs w:val="24"/>
          <w:lang w:eastAsia="en-GB"/>
        </w:rPr>
        <w:drawing>
          <wp:inline distT="0" distB="0" distL="0" distR="0" wp14:anchorId="18907CFE" wp14:editId="18907CFF">
            <wp:extent cx="5791835" cy="58039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91835" cy="5803900"/>
                    </a:xfrm>
                    <a:prstGeom prst="rect">
                      <a:avLst/>
                    </a:prstGeom>
                    <a:noFill/>
                  </pic:spPr>
                </pic:pic>
              </a:graphicData>
            </a:graphic>
          </wp:inline>
        </w:drawing>
      </w:r>
    </w:p>
    <w:p w14:paraId="18907B8F" w14:textId="77777777" w:rsidR="00EE4620" w:rsidRPr="00EE4620" w:rsidRDefault="00EE4620" w:rsidP="00EE4620">
      <w:pPr>
        <w:spacing w:after="0" w:line="240" w:lineRule="auto"/>
        <w:rPr>
          <w:rFonts w:ascii="Arial" w:eastAsia="Times New Roman" w:hAnsi="Arial" w:cs="Times New Roman"/>
          <w:b/>
          <w:lang w:eastAsia="en-GB"/>
        </w:rPr>
      </w:pPr>
    </w:p>
    <w:p w14:paraId="18907B90" w14:textId="77777777" w:rsidR="00EE4620" w:rsidRPr="00EE4620" w:rsidRDefault="00EE4620" w:rsidP="00EE4620">
      <w:pPr>
        <w:spacing w:after="0" w:line="240" w:lineRule="auto"/>
        <w:rPr>
          <w:rFonts w:ascii="Arial" w:eastAsia="Times New Roman" w:hAnsi="Arial" w:cs="Times New Roman"/>
          <w:b/>
          <w:lang w:eastAsia="en-GB"/>
        </w:rPr>
      </w:pPr>
      <w:r w:rsidRPr="00EE4620">
        <w:rPr>
          <w:rFonts w:ascii="Arial" w:eastAsia="Times New Roman" w:hAnsi="Arial" w:cs="Times New Roman"/>
          <w:b/>
          <w:lang w:eastAsia="en-GB"/>
        </w:rPr>
        <w:t>Activities conducted by the LGA</w:t>
      </w:r>
    </w:p>
    <w:p w14:paraId="18907B91" w14:textId="77777777" w:rsidR="00EE4620" w:rsidRPr="00EE4620" w:rsidRDefault="00EE4620" w:rsidP="00EE4620">
      <w:pPr>
        <w:spacing w:after="0" w:line="240" w:lineRule="auto"/>
        <w:rPr>
          <w:rFonts w:ascii="Arial" w:eastAsia="Times New Roman" w:hAnsi="Arial" w:cs="Times New Roman"/>
          <w:b/>
          <w:lang w:eastAsia="en-GB"/>
        </w:rPr>
      </w:pPr>
    </w:p>
    <w:p w14:paraId="18907B92" w14:textId="27FC8132" w:rsidR="00EE4620" w:rsidRPr="00EE4620" w:rsidRDefault="00EE4620" w:rsidP="00FC2278">
      <w:pPr>
        <w:numPr>
          <w:ilvl w:val="0"/>
          <w:numId w:val="3"/>
        </w:numPr>
        <w:spacing w:before="120" w:after="360" w:line="240" w:lineRule="auto"/>
        <w:ind w:left="567" w:hanging="567"/>
        <w:contextualSpacing/>
        <w:rPr>
          <w:rFonts w:ascii="Arial" w:eastAsia="Times New Roman" w:hAnsi="Arial" w:cs="Times New Roman"/>
          <w:lang w:eastAsia="en-GB"/>
        </w:rPr>
      </w:pPr>
      <w:r w:rsidRPr="00EE4620">
        <w:rPr>
          <w:rFonts w:ascii="Arial" w:eastAsia="Times New Roman" w:hAnsi="Arial" w:cs="Times New Roman"/>
          <w:lang w:eastAsia="en-GB"/>
        </w:rPr>
        <w:t>The majority (</w:t>
      </w:r>
      <w:r w:rsidRPr="00EE4620">
        <w:rPr>
          <w:rFonts w:ascii="Arial" w:eastAsia="Times New Roman" w:hAnsi="Arial" w:cs="Times New Roman"/>
          <w:b/>
          <w:lang w:eastAsia="en-GB"/>
        </w:rPr>
        <w:t>90 per cent</w:t>
      </w:r>
      <w:r w:rsidRPr="00EE4620">
        <w:rPr>
          <w:rFonts w:ascii="Arial" w:eastAsia="Times New Roman" w:hAnsi="Arial" w:cs="Times New Roman"/>
          <w:lang w:eastAsia="en-GB"/>
        </w:rPr>
        <w:t xml:space="preserve">) of respondents believe all of the activities listed </w:t>
      </w:r>
      <w:r w:rsidRPr="00EE4620">
        <w:rPr>
          <w:rFonts w:ascii="Arial" w:eastAsia="Times New Roman" w:hAnsi="Arial" w:cs="Times New Roman"/>
          <w:lang w:eastAsia="en-GB"/>
        </w:rPr>
        <w:tab/>
        <w:t>below are important to their authority or the sector.  They are most likely to consider ‘providing a single voice for local government’ as the most important activity (</w:t>
      </w:r>
      <w:r w:rsidRPr="00EE4620">
        <w:rPr>
          <w:rFonts w:ascii="Arial" w:eastAsia="Times New Roman" w:hAnsi="Arial" w:cs="Times New Roman"/>
          <w:b/>
          <w:lang w:eastAsia="en-GB"/>
        </w:rPr>
        <w:t>94 per cent</w:t>
      </w:r>
      <w:r w:rsidRPr="00EE4620">
        <w:rPr>
          <w:rFonts w:ascii="Arial" w:eastAsia="Times New Roman" w:hAnsi="Arial" w:cs="Times New Roman"/>
          <w:lang w:eastAsia="en-GB"/>
        </w:rPr>
        <w:t>).</w:t>
      </w:r>
    </w:p>
    <w:p w14:paraId="18907B93" w14:textId="77777777" w:rsidR="00EE4620" w:rsidRPr="00EE4620" w:rsidRDefault="00EE4620" w:rsidP="00EE4620">
      <w:pPr>
        <w:spacing w:after="0" w:line="240" w:lineRule="auto"/>
        <w:rPr>
          <w:rFonts w:ascii="Arial" w:eastAsia="Times New Roman" w:hAnsi="Arial" w:cs="Times New Roman"/>
          <w:lang w:eastAsia="en-GB"/>
        </w:rPr>
      </w:pPr>
    </w:p>
    <w:p w14:paraId="18907B94" w14:textId="5A9DA3D0" w:rsidR="00EE4620" w:rsidRPr="00EE4620" w:rsidRDefault="00EE4620" w:rsidP="00FC2278">
      <w:pPr>
        <w:numPr>
          <w:ilvl w:val="0"/>
          <w:numId w:val="3"/>
        </w:numPr>
        <w:spacing w:before="120" w:after="360" w:line="240" w:lineRule="auto"/>
        <w:ind w:left="567" w:hanging="567"/>
        <w:contextualSpacing/>
        <w:rPr>
          <w:rFonts w:ascii="Arial" w:eastAsia="Times New Roman" w:hAnsi="Arial" w:cs="Times New Roman"/>
          <w:szCs w:val="20"/>
          <w:lang w:eastAsia="en-GB"/>
        </w:rPr>
      </w:pPr>
      <w:r w:rsidRPr="00EE4620">
        <w:rPr>
          <w:rFonts w:ascii="Arial" w:eastAsia="Times New Roman" w:hAnsi="Arial" w:cs="Times New Roman"/>
          <w:b/>
          <w:lang w:eastAsia="en-GB"/>
        </w:rPr>
        <w:t xml:space="preserve">Leaders </w:t>
      </w:r>
      <w:r w:rsidRPr="00EE4620">
        <w:rPr>
          <w:rFonts w:ascii="Arial" w:eastAsia="Times New Roman" w:hAnsi="Arial" w:cs="Times New Roman"/>
          <w:lang w:eastAsia="en-GB"/>
        </w:rPr>
        <w:t>are particularly likely to consider providing support and challenge for councils to improve as very important (</w:t>
      </w:r>
      <w:r w:rsidRPr="00EE4620">
        <w:rPr>
          <w:rFonts w:ascii="Arial" w:eastAsia="Times New Roman" w:hAnsi="Arial" w:cs="Times New Roman"/>
          <w:b/>
          <w:lang w:eastAsia="en-GB"/>
        </w:rPr>
        <w:t>56 per cent</w:t>
      </w:r>
      <w:r w:rsidRPr="00EE4620">
        <w:rPr>
          <w:rFonts w:ascii="Arial" w:eastAsia="Times New Roman" w:hAnsi="Arial" w:cs="Times New Roman"/>
          <w:lang w:eastAsia="en-GB"/>
        </w:rPr>
        <w:t xml:space="preserve"> compared with an average of 49 per cent).</w:t>
      </w:r>
    </w:p>
    <w:p w14:paraId="18907B95" w14:textId="77777777" w:rsidR="00EE4620" w:rsidRPr="00EE4620" w:rsidRDefault="00EE4620" w:rsidP="00EE4620">
      <w:pPr>
        <w:spacing w:after="0" w:line="240" w:lineRule="auto"/>
        <w:rPr>
          <w:rFonts w:ascii="Arial" w:eastAsia="Times New Roman" w:hAnsi="Arial" w:cs="Arial"/>
          <w:b/>
          <w:szCs w:val="20"/>
          <w:lang w:eastAsia="en-GB"/>
        </w:rPr>
      </w:pPr>
    </w:p>
    <w:p w14:paraId="18907B96" w14:textId="3D7965BC" w:rsidR="00EE4620" w:rsidRPr="00EE4620" w:rsidRDefault="00EE4620" w:rsidP="00FC2278">
      <w:pPr>
        <w:numPr>
          <w:ilvl w:val="0"/>
          <w:numId w:val="3"/>
        </w:numPr>
        <w:spacing w:before="120" w:after="360" w:line="240" w:lineRule="auto"/>
        <w:ind w:left="567" w:hanging="567"/>
        <w:contextualSpacing/>
        <w:rPr>
          <w:rFonts w:ascii="Arial" w:eastAsia="Times New Roman" w:hAnsi="Arial" w:cs="Arial"/>
          <w:szCs w:val="20"/>
          <w:lang w:eastAsia="en-GB"/>
        </w:rPr>
      </w:pPr>
      <w:r w:rsidRPr="00EE4620">
        <w:rPr>
          <w:rFonts w:ascii="Arial" w:eastAsia="Times New Roman" w:hAnsi="Arial" w:cs="Arial"/>
          <w:b/>
          <w:lang w:eastAsia="en-GB"/>
        </w:rPr>
        <w:t xml:space="preserve">Chairs of scrutiny </w:t>
      </w:r>
      <w:r w:rsidRPr="00EE4620">
        <w:rPr>
          <w:rFonts w:ascii="Arial" w:eastAsia="Times New Roman" w:hAnsi="Arial" w:cs="Arial"/>
          <w:lang w:eastAsia="en-GB"/>
        </w:rPr>
        <w:t>are more likely to consider managing local government’s reputation in the national media as unimportant (</w:t>
      </w:r>
      <w:r w:rsidRPr="00EE4620">
        <w:rPr>
          <w:rFonts w:ascii="Arial" w:eastAsia="Times New Roman" w:hAnsi="Arial" w:cs="Arial"/>
          <w:b/>
          <w:lang w:eastAsia="en-GB"/>
        </w:rPr>
        <w:t>11 per cent</w:t>
      </w:r>
      <w:r w:rsidRPr="00EE4620">
        <w:rPr>
          <w:rFonts w:ascii="Arial" w:eastAsia="Times New Roman" w:hAnsi="Arial" w:cs="Arial"/>
          <w:lang w:eastAsia="en-GB"/>
        </w:rPr>
        <w:t xml:space="preserve">, compared with an average of 6 per cent). </w:t>
      </w:r>
    </w:p>
    <w:p w14:paraId="18907B97" w14:textId="77777777" w:rsidR="00EE4620" w:rsidRPr="00EE4620" w:rsidRDefault="00EE4620" w:rsidP="00EE4620">
      <w:pPr>
        <w:spacing w:after="0" w:line="240" w:lineRule="auto"/>
        <w:rPr>
          <w:rFonts w:ascii="Arial" w:eastAsia="Times New Roman" w:hAnsi="Arial" w:cs="Arial"/>
          <w:b/>
          <w:lang w:eastAsia="en-GB"/>
        </w:rPr>
      </w:pPr>
    </w:p>
    <w:p w14:paraId="18907B98" w14:textId="77777777" w:rsidR="00EE4620" w:rsidRPr="00EE4620" w:rsidRDefault="00EE4620" w:rsidP="00EE4620">
      <w:pPr>
        <w:spacing w:after="0" w:line="240" w:lineRule="auto"/>
        <w:rPr>
          <w:rFonts w:ascii="Arial" w:eastAsia="Times New Roman" w:hAnsi="Arial" w:cs="Arial"/>
          <w:b/>
          <w:lang w:eastAsia="en-GB"/>
        </w:rPr>
      </w:pPr>
    </w:p>
    <w:p w14:paraId="18907B99" w14:textId="77777777" w:rsidR="00EE4620" w:rsidRPr="00EE4620" w:rsidRDefault="00EE4620" w:rsidP="00EE4620">
      <w:pPr>
        <w:spacing w:after="0" w:line="240" w:lineRule="auto"/>
        <w:rPr>
          <w:rFonts w:ascii="Arial" w:eastAsia="Times New Roman" w:hAnsi="Arial" w:cs="Arial"/>
          <w:b/>
          <w:lang w:eastAsia="en-GB"/>
        </w:rPr>
      </w:pPr>
      <w:r w:rsidRPr="00EE4620">
        <w:rPr>
          <w:rFonts w:ascii="Arial" w:eastAsia="Times New Roman" w:hAnsi="Arial" w:cs="Arial"/>
          <w:b/>
          <w:lang w:eastAsia="en-GB"/>
        </w:rPr>
        <w:t xml:space="preserve">Table 11 – I am going to read out a list of activities conducted by the LGA.  For each, I would like you to tell me whether they are important or not to your authority or the sector?  </w:t>
      </w:r>
    </w:p>
    <w:p w14:paraId="18907B9A" w14:textId="77777777" w:rsidR="00EE4620" w:rsidRPr="00EE4620" w:rsidRDefault="00EE4620" w:rsidP="00EE4620">
      <w:pPr>
        <w:spacing w:after="0" w:line="240" w:lineRule="auto"/>
        <w:rPr>
          <w:rFonts w:ascii="Arial" w:eastAsia="Times New Roman" w:hAnsi="Arial" w:cs="Arial"/>
          <w:sz w:val="24"/>
          <w:szCs w:val="24"/>
          <w:lang w:eastAsia="en-GB"/>
        </w:rPr>
      </w:pPr>
      <w:r w:rsidRPr="00EE4620">
        <w:rPr>
          <w:rFonts w:ascii="Arial" w:eastAsia="Times New Roman" w:hAnsi="Arial" w:cs="Times New Roman"/>
          <w:noProof/>
          <w:sz w:val="24"/>
          <w:szCs w:val="20"/>
          <w:lang w:eastAsia="en-GB"/>
        </w:rPr>
        <w:drawing>
          <wp:inline distT="0" distB="0" distL="0" distR="0" wp14:anchorId="18907D00" wp14:editId="18907D01">
            <wp:extent cx="5278120" cy="3578531"/>
            <wp:effectExtent l="0" t="0" r="0" b="3175"/>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8907B9B" w14:textId="77777777" w:rsidR="00EE4620" w:rsidRPr="00EE4620" w:rsidRDefault="00EE4620" w:rsidP="00EE4620">
      <w:pPr>
        <w:spacing w:after="0" w:line="240" w:lineRule="auto"/>
        <w:rPr>
          <w:rFonts w:ascii="Arial" w:eastAsia="Times New Roman" w:hAnsi="Arial" w:cs="Arial"/>
          <w:b/>
          <w:lang w:eastAsia="en-GB"/>
        </w:rPr>
      </w:pPr>
    </w:p>
    <w:p w14:paraId="18907B9C" w14:textId="77777777" w:rsidR="00EE4620" w:rsidRPr="00EE4620" w:rsidRDefault="00EE4620" w:rsidP="00EE4620">
      <w:pPr>
        <w:spacing w:after="0" w:line="240" w:lineRule="auto"/>
        <w:rPr>
          <w:rFonts w:ascii="Arial" w:eastAsia="Times New Roman" w:hAnsi="Arial" w:cs="Arial"/>
          <w:b/>
          <w:lang w:eastAsia="en-GB"/>
        </w:rPr>
      </w:pPr>
    </w:p>
    <w:p w14:paraId="18907B9D" w14:textId="77777777" w:rsidR="00EE4620" w:rsidRPr="00EE4620" w:rsidRDefault="00EE4620" w:rsidP="00EE4620">
      <w:pPr>
        <w:spacing w:after="0" w:line="240" w:lineRule="auto"/>
        <w:rPr>
          <w:rFonts w:ascii="Arial" w:eastAsia="Times New Roman" w:hAnsi="Arial" w:cs="Arial"/>
          <w:b/>
          <w:lang w:eastAsia="en-GB"/>
        </w:rPr>
      </w:pPr>
      <w:r w:rsidRPr="00EE4620">
        <w:rPr>
          <w:rFonts w:ascii="Arial" w:eastAsia="Times New Roman" w:hAnsi="Arial" w:cs="Arial"/>
          <w:b/>
          <w:lang w:eastAsia="en-GB"/>
        </w:rPr>
        <w:t>Table 12 - What is the most important activity conducted by LGA?</w:t>
      </w:r>
    </w:p>
    <w:p w14:paraId="18907B9E" w14:textId="77777777" w:rsidR="00EE4620" w:rsidRPr="00EE4620" w:rsidRDefault="00EE4620" w:rsidP="00EE4620">
      <w:pPr>
        <w:spacing w:after="0" w:line="240" w:lineRule="auto"/>
        <w:rPr>
          <w:rFonts w:ascii="Arial" w:eastAsia="Times New Roman" w:hAnsi="Arial" w:cs="Arial"/>
          <w:sz w:val="24"/>
          <w:szCs w:val="24"/>
          <w:lang w:eastAsia="en-GB"/>
        </w:rPr>
      </w:pPr>
      <w:r w:rsidRPr="00EE4620">
        <w:rPr>
          <w:rFonts w:ascii="Arial" w:eastAsia="Times New Roman" w:hAnsi="Arial" w:cs="Times New Roman"/>
          <w:noProof/>
          <w:sz w:val="24"/>
          <w:szCs w:val="20"/>
          <w:lang w:eastAsia="en-GB"/>
        </w:rPr>
        <w:drawing>
          <wp:inline distT="0" distB="0" distL="0" distR="0" wp14:anchorId="18907D02" wp14:editId="18907D03">
            <wp:extent cx="5278120" cy="2595222"/>
            <wp:effectExtent l="0" t="0" r="0" b="0"/>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8907B9F" w14:textId="77777777" w:rsidR="00EE4620" w:rsidRDefault="00EE4620" w:rsidP="00EE4620">
      <w:pPr>
        <w:spacing w:after="0" w:line="240" w:lineRule="auto"/>
        <w:rPr>
          <w:rFonts w:ascii="Arial" w:eastAsia="Times New Roman" w:hAnsi="Arial" w:cs="Times New Roman"/>
          <w:b/>
          <w:lang w:eastAsia="en-GB"/>
        </w:rPr>
      </w:pPr>
      <w:r>
        <w:rPr>
          <w:rFonts w:ascii="Arial" w:eastAsia="Times New Roman" w:hAnsi="Arial" w:cs="Times New Roman"/>
          <w:b/>
          <w:lang w:eastAsia="en-GB"/>
        </w:rPr>
        <w:br w:type="page"/>
      </w:r>
    </w:p>
    <w:p w14:paraId="18907BA0" w14:textId="77777777" w:rsidR="00EE4620" w:rsidRPr="00EE4620" w:rsidRDefault="00EE4620" w:rsidP="00EE4620">
      <w:pPr>
        <w:spacing w:after="0" w:line="240" w:lineRule="auto"/>
        <w:rPr>
          <w:rFonts w:ascii="Arial" w:eastAsia="Times New Roman" w:hAnsi="Arial" w:cs="Times New Roman"/>
          <w:b/>
          <w:lang w:eastAsia="en-GB"/>
        </w:rPr>
      </w:pPr>
      <w:r w:rsidRPr="00EE4620">
        <w:rPr>
          <w:rFonts w:ascii="Arial" w:eastAsia="Times New Roman" w:hAnsi="Arial" w:cs="Times New Roman"/>
          <w:b/>
          <w:lang w:eastAsia="en-GB"/>
        </w:rPr>
        <w:lastRenderedPageBreak/>
        <w:t>Services provided by the LGA</w:t>
      </w:r>
    </w:p>
    <w:p w14:paraId="18907BA1" w14:textId="77777777" w:rsidR="00EE4620" w:rsidRPr="00EE4620" w:rsidRDefault="00EE4620" w:rsidP="00EE4620">
      <w:pPr>
        <w:spacing w:after="0" w:line="240" w:lineRule="auto"/>
        <w:rPr>
          <w:rFonts w:ascii="Arial" w:eastAsia="Times New Roman" w:hAnsi="Arial" w:cs="Times New Roman"/>
          <w:lang w:eastAsia="en-GB"/>
        </w:rPr>
      </w:pPr>
    </w:p>
    <w:p w14:paraId="18907BA2" w14:textId="370AE114" w:rsidR="00EE4620" w:rsidRPr="00EE4620" w:rsidRDefault="00EE4620" w:rsidP="00FC2278">
      <w:pPr>
        <w:numPr>
          <w:ilvl w:val="0"/>
          <w:numId w:val="3"/>
        </w:numPr>
        <w:spacing w:before="120" w:after="360" w:line="240" w:lineRule="auto"/>
        <w:ind w:left="567" w:hanging="567"/>
        <w:contextualSpacing/>
        <w:rPr>
          <w:rFonts w:ascii="Arial" w:eastAsia="Arial" w:hAnsi="Arial" w:cs="Arial"/>
          <w:b/>
          <w:sz w:val="24"/>
          <w:szCs w:val="24"/>
        </w:rPr>
      </w:pPr>
      <w:r w:rsidRPr="00FC2278">
        <w:rPr>
          <w:rFonts w:ascii="Arial" w:eastAsia="Times New Roman" w:hAnsi="Arial" w:cs="Arial"/>
          <w:b/>
          <w:lang w:eastAsia="en-GB"/>
        </w:rPr>
        <w:t>Lobbying</w:t>
      </w:r>
      <w:r w:rsidRPr="00EE4620">
        <w:rPr>
          <w:rFonts w:ascii="Arial" w:eastAsia="Times New Roman" w:hAnsi="Arial" w:cs="Times New Roman"/>
          <w:lang w:eastAsia="en-GB"/>
        </w:rPr>
        <w:t xml:space="preserve"> on behalf of local government is considered particularly useful with </w:t>
      </w:r>
      <w:r w:rsidRPr="00EE4620">
        <w:rPr>
          <w:rFonts w:ascii="Arial" w:eastAsia="Times New Roman" w:hAnsi="Arial" w:cs="Times New Roman"/>
          <w:b/>
          <w:lang w:eastAsia="en-GB"/>
        </w:rPr>
        <w:t>92 per cent</w:t>
      </w:r>
      <w:r w:rsidRPr="00EE4620">
        <w:rPr>
          <w:rFonts w:ascii="Arial" w:eastAsia="Times New Roman" w:hAnsi="Arial" w:cs="Times New Roman"/>
          <w:lang w:eastAsia="en-GB"/>
        </w:rPr>
        <w:t xml:space="preserve"> considering it a ‘very useful’ or ‘useful’ service.  </w:t>
      </w:r>
    </w:p>
    <w:p w14:paraId="18907BA3" w14:textId="77777777" w:rsidR="00EE4620" w:rsidRPr="00EE4620" w:rsidRDefault="00EE4620" w:rsidP="00EE4620">
      <w:pPr>
        <w:spacing w:after="0" w:line="240" w:lineRule="auto"/>
        <w:rPr>
          <w:rFonts w:ascii="Arial" w:eastAsia="Times New Roman" w:hAnsi="Arial" w:cs="Arial"/>
          <w:lang w:eastAsia="en-GB"/>
        </w:rPr>
      </w:pPr>
    </w:p>
    <w:p w14:paraId="68594523" w14:textId="77777777" w:rsidR="00FC2278" w:rsidRDefault="00EE4620" w:rsidP="00FC2278">
      <w:pPr>
        <w:numPr>
          <w:ilvl w:val="0"/>
          <w:numId w:val="3"/>
        </w:numPr>
        <w:spacing w:before="120" w:after="360" w:line="240" w:lineRule="auto"/>
        <w:ind w:left="567" w:hanging="567"/>
        <w:contextualSpacing/>
        <w:rPr>
          <w:rFonts w:ascii="Arial" w:eastAsia="Times New Roman" w:hAnsi="Arial" w:cs="Arial"/>
          <w:lang w:eastAsia="en-GB"/>
        </w:rPr>
      </w:pPr>
      <w:r w:rsidRPr="00EE4620">
        <w:rPr>
          <w:rFonts w:ascii="Arial" w:eastAsia="Times New Roman" w:hAnsi="Arial" w:cs="Arial"/>
          <w:lang w:eastAsia="en-GB"/>
        </w:rPr>
        <w:t xml:space="preserve">Respondents who selected more than one activity as ‘very useful’ were asked </w:t>
      </w:r>
      <w:r w:rsidRPr="00EE4620">
        <w:rPr>
          <w:rFonts w:ascii="Arial" w:eastAsia="Times New Roman" w:hAnsi="Arial" w:cs="Arial"/>
          <w:lang w:eastAsia="en-GB"/>
        </w:rPr>
        <w:tab/>
        <w:t>which they saw as most useful.   The activities viewed</w:t>
      </w:r>
      <w:r w:rsidR="00FC2278">
        <w:rPr>
          <w:rFonts w:ascii="Arial" w:eastAsia="Times New Roman" w:hAnsi="Arial" w:cs="Arial"/>
          <w:lang w:eastAsia="en-GB"/>
        </w:rPr>
        <w:t xml:space="preserve"> as most useful were:</w:t>
      </w:r>
    </w:p>
    <w:p w14:paraId="6A73B5EA" w14:textId="77777777" w:rsidR="00FC2278" w:rsidRDefault="00FC2278" w:rsidP="00FC2278">
      <w:pPr>
        <w:spacing w:before="120" w:after="360" w:line="240" w:lineRule="auto"/>
        <w:ind w:left="567"/>
        <w:contextualSpacing/>
        <w:rPr>
          <w:rFonts w:ascii="Arial" w:eastAsia="Times New Roman" w:hAnsi="Arial" w:cs="Arial"/>
          <w:lang w:eastAsia="en-GB"/>
        </w:rPr>
      </w:pPr>
    </w:p>
    <w:p w14:paraId="18907BA6" w14:textId="43BE45CD" w:rsidR="00EE4620" w:rsidRPr="00FC2278" w:rsidRDefault="00EE4620" w:rsidP="00085821">
      <w:pPr>
        <w:numPr>
          <w:ilvl w:val="1"/>
          <w:numId w:val="3"/>
        </w:numPr>
        <w:spacing w:before="120" w:after="360" w:line="240" w:lineRule="auto"/>
        <w:ind w:left="1208" w:hanging="641"/>
        <w:contextualSpacing/>
        <w:rPr>
          <w:rFonts w:ascii="Arial" w:eastAsia="Times New Roman" w:hAnsi="Arial" w:cs="Arial"/>
          <w:lang w:eastAsia="en-GB"/>
        </w:rPr>
      </w:pPr>
      <w:r w:rsidRPr="00FC2278">
        <w:rPr>
          <w:rFonts w:ascii="Arial" w:eastAsia="Arial" w:hAnsi="Arial" w:cs="Arial"/>
        </w:rPr>
        <w:t>lobbying on behalf of local government (</w:t>
      </w:r>
      <w:r w:rsidRPr="00FC2278">
        <w:rPr>
          <w:rFonts w:ascii="Arial" w:eastAsia="Arial" w:hAnsi="Arial" w:cs="Arial"/>
          <w:b/>
        </w:rPr>
        <w:t>32 per cent</w:t>
      </w:r>
      <w:r w:rsidRPr="00FC2278">
        <w:rPr>
          <w:rFonts w:ascii="Arial" w:eastAsia="Arial" w:hAnsi="Arial" w:cs="Arial"/>
        </w:rPr>
        <w:t>);</w:t>
      </w:r>
    </w:p>
    <w:p w14:paraId="18907BA7" w14:textId="77777777" w:rsidR="00EE4620" w:rsidRPr="00EE4620" w:rsidRDefault="00EE4620" w:rsidP="00085821">
      <w:pPr>
        <w:numPr>
          <w:ilvl w:val="1"/>
          <w:numId w:val="3"/>
        </w:numPr>
        <w:spacing w:before="120" w:after="360" w:line="240" w:lineRule="auto"/>
        <w:ind w:left="1208" w:hanging="641"/>
        <w:contextualSpacing/>
        <w:rPr>
          <w:rFonts w:ascii="Arial" w:eastAsia="Arial" w:hAnsi="Arial" w:cs="Arial"/>
        </w:rPr>
      </w:pPr>
      <w:r w:rsidRPr="00EE4620">
        <w:rPr>
          <w:rFonts w:ascii="Arial" w:eastAsia="Arial" w:hAnsi="Arial" w:cs="Arial"/>
        </w:rPr>
        <w:t>providing up-to-date information about local government (</w:t>
      </w:r>
      <w:r w:rsidRPr="00EE4620">
        <w:rPr>
          <w:rFonts w:ascii="Arial" w:eastAsia="Arial" w:hAnsi="Arial" w:cs="Arial"/>
          <w:b/>
        </w:rPr>
        <w:t>13 per cent</w:t>
      </w:r>
      <w:r w:rsidRPr="00EE4620">
        <w:rPr>
          <w:rFonts w:ascii="Arial" w:eastAsia="Arial" w:hAnsi="Arial" w:cs="Arial"/>
        </w:rPr>
        <w:t>); and</w:t>
      </w:r>
    </w:p>
    <w:p w14:paraId="18907BA8" w14:textId="77777777" w:rsidR="00EE4620" w:rsidRPr="00EE4620" w:rsidRDefault="00EE4620" w:rsidP="00085821">
      <w:pPr>
        <w:numPr>
          <w:ilvl w:val="1"/>
          <w:numId w:val="3"/>
        </w:numPr>
        <w:spacing w:before="120" w:after="360" w:line="240" w:lineRule="auto"/>
        <w:ind w:left="1208" w:hanging="641"/>
        <w:contextualSpacing/>
        <w:rPr>
          <w:rFonts w:ascii="Arial" w:eastAsia="Arial" w:hAnsi="Arial" w:cs="Arial"/>
        </w:rPr>
      </w:pPr>
      <w:proofErr w:type="gramStart"/>
      <w:r w:rsidRPr="00EE4620">
        <w:rPr>
          <w:rFonts w:ascii="Arial" w:eastAsia="Arial" w:hAnsi="Arial" w:cs="Arial"/>
        </w:rPr>
        <w:t>providing</w:t>
      </w:r>
      <w:proofErr w:type="gramEnd"/>
      <w:r w:rsidRPr="00EE4620">
        <w:rPr>
          <w:rFonts w:ascii="Arial" w:eastAsia="Arial" w:hAnsi="Arial" w:cs="Arial"/>
        </w:rPr>
        <w:t xml:space="preserve"> support for sector led improvement (</w:t>
      </w:r>
      <w:r w:rsidRPr="00EE4620">
        <w:rPr>
          <w:rFonts w:ascii="Arial" w:eastAsia="Arial" w:hAnsi="Arial" w:cs="Arial"/>
          <w:b/>
        </w:rPr>
        <w:t>12 per cent</w:t>
      </w:r>
      <w:r w:rsidRPr="00EE4620">
        <w:rPr>
          <w:rFonts w:ascii="Arial" w:eastAsia="Arial" w:hAnsi="Arial" w:cs="Arial"/>
        </w:rPr>
        <w:t xml:space="preserve">).  </w:t>
      </w:r>
    </w:p>
    <w:p w14:paraId="18907BA9" w14:textId="77777777" w:rsidR="00EE4620" w:rsidRPr="00EE4620" w:rsidRDefault="00EE4620" w:rsidP="00EE4620">
      <w:pPr>
        <w:spacing w:after="0" w:line="240" w:lineRule="auto"/>
        <w:ind w:left="360"/>
        <w:rPr>
          <w:rFonts w:ascii="Arial" w:eastAsia="Times New Roman" w:hAnsi="Arial" w:cs="Arial"/>
          <w:szCs w:val="20"/>
          <w:lang w:eastAsia="en-GB"/>
        </w:rPr>
      </w:pPr>
    </w:p>
    <w:p w14:paraId="18907BAA" w14:textId="7FE9D766" w:rsidR="00EE4620" w:rsidRPr="00EE4620" w:rsidRDefault="00EE4620" w:rsidP="00FC2278">
      <w:pPr>
        <w:numPr>
          <w:ilvl w:val="0"/>
          <w:numId w:val="3"/>
        </w:numPr>
        <w:spacing w:before="120" w:after="360" w:line="240" w:lineRule="auto"/>
        <w:ind w:left="567" w:hanging="567"/>
        <w:contextualSpacing/>
        <w:rPr>
          <w:rFonts w:ascii="Arial" w:eastAsia="Times New Roman" w:hAnsi="Arial" w:cs="Arial"/>
          <w:lang w:eastAsia="en-GB"/>
        </w:rPr>
      </w:pPr>
      <w:r w:rsidRPr="00EE4620">
        <w:rPr>
          <w:rFonts w:ascii="Arial" w:eastAsia="Times New Roman" w:hAnsi="Arial" w:cs="Arial"/>
          <w:lang w:eastAsia="en-GB"/>
        </w:rPr>
        <w:t xml:space="preserve">These are similar findings to those reported in 2012. </w:t>
      </w:r>
    </w:p>
    <w:p w14:paraId="18907BAB" w14:textId="77777777" w:rsidR="00EE4620" w:rsidRPr="00EE4620" w:rsidRDefault="00EE4620" w:rsidP="00EE4620">
      <w:pPr>
        <w:spacing w:after="0" w:line="240" w:lineRule="auto"/>
        <w:rPr>
          <w:rFonts w:ascii="Arial" w:eastAsia="Arial" w:hAnsi="Arial" w:cs="Arial"/>
          <w:b/>
          <w:sz w:val="24"/>
          <w:szCs w:val="24"/>
        </w:rPr>
      </w:pPr>
    </w:p>
    <w:p w14:paraId="18907BAC" w14:textId="1167805C" w:rsidR="00EE4620" w:rsidRPr="00EE4620" w:rsidRDefault="00EE4620" w:rsidP="00FC2278">
      <w:pPr>
        <w:numPr>
          <w:ilvl w:val="0"/>
          <w:numId w:val="3"/>
        </w:numPr>
        <w:spacing w:before="120" w:after="360" w:line="240" w:lineRule="auto"/>
        <w:ind w:left="567" w:hanging="567"/>
        <w:contextualSpacing/>
        <w:rPr>
          <w:rFonts w:ascii="Arial" w:eastAsia="Times New Roman" w:hAnsi="Arial" w:cs="Arial"/>
          <w:szCs w:val="20"/>
          <w:lang w:eastAsia="en-GB"/>
        </w:rPr>
      </w:pPr>
      <w:r w:rsidRPr="00FC2278">
        <w:rPr>
          <w:rFonts w:ascii="Arial" w:eastAsia="Times New Roman" w:hAnsi="Arial" w:cs="Arial"/>
          <w:b/>
          <w:lang w:eastAsia="en-GB"/>
        </w:rPr>
        <w:t>Officers</w:t>
      </w:r>
      <w:r w:rsidRPr="00EE4620">
        <w:rPr>
          <w:rFonts w:ascii="Arial" w:eastAsia="Times New Roman" w:hAnsi="Arial" w:cs="Arial"/>
          <w:szCs w:val="20"/>
          <w:lang w:eastAsia="en-GB"/>
        </w:rPr>
        <w:t xml:space="preserve"> are significantly more likely than </w:t>
      </w:r>
      <w:r w:rsidRPr="00EE4620">
        <w:rPr>
          <w:rFonts w:ascii="Arial" w:eastAsia="Times New Roman" w:hAnsi="Arial" w:cs="Arial"/>
          <w:b/>
          <w:szCs w:val="20"/>
          <w:lang w:eastAsia="en-GB"/>
        </w:rPr>
        <w:t>frontbench councillors</w:t>
      </w:r>
      <w:r w:rsidRPr="00EE4620">
        <w:rPr>
          <w:rFonts w:ascii="Arial" w:eastAsia="Times New Roman" w:hAnsi="Arial" w:cs="Arial"/>
          <w:szCs w:val="20"/>
          <w:lang w:eastAsia="en-GB"/>
        </w:rPr>
        <w:t xml:space="preserve"> and </w:t>
      </w:r>
      <w:r w:rsidRPr="00EE4620">
        <w:rPr>
          <w:rFonts w:ascii="Arial" w:eastAsia="Times New Roman" w:hAnsi="Arial" w:cs="Arial"/>
          <w:b/>
          <w:szCs w:val="20"/>
          <w:lang w:eastAsia="en-GB"/>
        </w:rPr>
        <w:t>backbench councillors</w:t>
      </w:r>
      <w:r w:rsidRPr="00EE4620">
        <w:rPr>
          <w:rFonts w:ascii="Arial" w:eastAsia="Times New Roman" w:hAnsi="Arial" w:cs="Arial"/>
          <w:szCs w:val="20"/>
          <w:lang w:eastAsia="en-GB"/>
        </w:rPr>
        <w:t xml:space="preserve"> to find lobbying on b</w:t>
      </w:r>
      <w:r w:rsidR="00FC2278">
        <w:rPr>
          <w:rFonts w:ascii="Arial" w:eastAsia="Times New Roman" w:hAnsi="Arial" w:cs="Arial"/>
          <w:szCs w:val="20"/>
          <w:lang w:eastAsia="en-GB"/>
        </w:rPr>
        <w:t xml:space="preserve">ehalf of local government most </w:t>
      </w:r>
      <w:r w:rsidRPr="00EE4620">
        <w:rPr>
          <w:rFonts w:ascii="Arial" w:eastAsia="Times New Roman" w:hAnsi="Arial" w:cs="Arial"/>
          <w:szCs w:val="20"/>
          <w:lang w:eastAsia="en-GB"/>
        </w:rPr>
        <w:t>useful (</w:t>
      </w:r>
      <w:r w:rsidRPr="00EE4620">
        <w:rPr>
          <w:rFonts w:ascii="Arial" w:eastAsia="Times New Roman" w:hAnsi="Arial" w:cs="Arial"/>
          <w:b/>
          <w:szCs w:val="20"/>
          <w:lang w:eastAsia="en-GB"/>
        </w:rPr>
        <w:t>41 per cent</w:t>
      </w:r>
      <w:r w:rsidRPr="00EE4620">
        <w:rPr>
          <w:rFonts w:ascii="Arial" w:eastAsia="Times New Roman" w:hAnsi="Arial" w:cs="Arial"/>
          <w:szCs w:val="20"/>
          <w:lang w:eastAsia="en-GB"/>
        </w:rPr>
        <w:t xml:space="preserve"> compared with 29 per cent and 27 per cent respectively)</w:t>
      </w:r>
      <w:r w:rsidR="00FC2278">
        <w:rPr>
          <w:rFonts w:ascii="Arial" w:eastAsia="Times New Roman" w:hAnsi="Arial" w:cs="Arial"/>
          <w:szCs w:val="20"/>
          <w:lang w:eastAsia="en-GB"/>
        </w:rPr>
        <w:t>.</w:t>
      </w:r>
    </w:p>
    <w:p w14:paraId="18907BAD" w14:textId="77777777" w:rsidR="00EE4620" w:rsidRPr="00EE4620" w:rsidRDefault="00EE4620" w:rsidP="00EE4620">
      <w:pPr>
        <w:spacing w:after="0" w:line="240" w:lineRule="auto"/>
        <w:rPr>
          <w:rFonts w:ascii="Arial" w:eastAsia="Times New Roman" w:hAnsi="Arial" w:cs="Arial"/>
          <w:szCs w:val="20"/>
          <w:lang w:eastAsia="en-GB"/>
        </w:rPr>
      </w:pPr>
    </w:p>
    <w:p w14:paraId="18907BAE" w14:textId="414F11B7" w:rsidR="00EE4620" w:rsidRPr="00EE4620" w:rsidRDefault="00EE4620" w:rsidP="00FC2278">
      <w:pPr>
        <w:numPr>
          <w:ilvl w:val="0"/>
          <w:numId w:val="3"/>
        </w:numPr>
        <w:spacing w:before="120" w:after="360" w:line="240" w:lineRule="auto"/>
        <w:ind w:left="567" w:hanging="567"/>
        <w:contextualSpacing/>
        <w:rPr>
          <w:rFonts w:ascii="Arial" w:eastAsia="Times New Roman" w:hAnsi="Arial" w:cs="Arial"/>
          <w:szCs w:val="20"/>
          <w:lang w:eastAsia="en-GB"/>
        </w:rPr>
      </w:pPr>
      <w:r w:rsidRPr="00EE4620">
        <w:rPr>
          <w:rFonts w:ascii="Arial" w:eastAsia="Times New Roman" w:hAnsi="Arial" w:cs="Arial"/>
          <w:szCs w:val="20"/>
          <w:lang w:eastAsia="en-GB"/>
        </w:rPr>
        <w:t xml:space="preserve">The proportion is particularly high amongst </w:t>
      </w:r>
      <w:r w:rsidRPr="00EE4620">
        <w:rPr>
          <w:rFonts w:ascii="Arial" w:eastAsia="Times New Roman" w:hAnsi="Arial" w:cs="Arial"/>
          <w:b/>
          <w:szCs w:val="20"/>
          <w:lang w:eastAsia="en-GB"/>
        </w:rPr>
        <w:t>chief executives</w:t>
      </w:r>
      <w:r w:rsidRPr="00EE4620">
        <w:rPr>
          <w:rFonts w:ascii="Arial" w:eastAsia="Times New Roman" w:hAnsi="Arial" w:cs="Arial"/>
          <w:szCs w:val="20"/>
          <w:lang w:eastAsia="en-GB"/>
        </w:rPr>
        <w:t xml:space="preserve"> (</w:t>
      </w:r>
      <w:r w:rsidRPr="00EE4620">
        <w:rPr>
          <w:rFonts w:ascii="Arial" w:eastAsia="Times New Roman" w:hAnsi="Arial" w:cs="Arial"/>
          <w:b/>
          <w:szCs w:val="20"/>
          <w:lang w:eastAsia="en-GB"/>
        </w:rPr>
        <w:t>52 per cent</w:t>
      </w:r>
      <w:r w:rsidRPr="00EE4620">
        <w:rPr>
          <w:rFonts w:ascii="Arial" w:eastAsia="Times New Roman" w:hAnsi="Arial" w:cs="Arial"/>
          <w:szCs w:val="20"/>
          <w:lang w:eastAsia="en-GB"/>
        </w:rPr>
        <w:t>).</w:t>
      </w:r>
    </w:p>
    <w:p w14:paraId="18907BAF" w14:textId="77777777" w:rsidR="00EE4620" w:rsidRPr="00EE4620" w:rsidRDefault="00EE4620" w:rsidP="00EE4620">
      <w:pPr>
        <w:spacing w:after="0" w:line="240" w:lineRule="auto"/>
        <w:rPr>
          <w:rFonts w:ascii="Arial" w:eastAsia="Arial" w:hAnsi="Arial" w:cs="Arial"/>
          <w:b/>
          <w:sz w:val="24"/>
          <w:szCs w:val="24"/>
        </w:rPr>
      </w:pPr>
    </w:p>
    <w:p w14:paraId="18907BB0" w14:textId="77777777" w:rsidR="00EE4620" w:rsidRPr="00EE4620" w:rsidRDefault="00EE4620" w:rsidP="00EE4620">
      <w:pPr>
        <w:spacing w:after="0" w:line="240" w:lineRule="auto"/>
        <w:rPr>
          <w:rFonts w:ascii="Arial" w:eastAsia="Arial" w:hAnsi="Arial" w:cs="Arial"/>
          <w:b/>
          <w:sz w:val="24"/>
          <w:szCs w:val="24"/>
        </w:rPr>
      </w:pPr>
    </w:p>
    <w:p w14:paraId="18907BB1" w14:textId="77777777" w:rsidR="00EE4620" w:rsidRPr="00EE4620" w:rsidRDefault="00EE4620" w:rsidP="00EE4620">
      <w:pPr>
        <w:spacing w:after="0" w:line="240" w:lineRule="auto"/>
        <w:rPr>
          <w:rFonts w:ascii="Arial" w:eastAsia="Arial" w:hAnsi="Arial" w:cs="Arial"/>
          <w:b/>
          <w:sz w:val="24"/>
          <w:szCs w:val="24"/>
        </w:rPr>
      </w:pPr>
    </w:p>
    <w:p w14:paraId="18907BB2" w14:textId="77777777" w:rsidR="00EE4620" w:rsidRPr="00EE4620" w:rsidRDefault="00EE4620" w:rsidP="00EE4620">
      <w:pPr>
        <w:spacing w:after="0" w:line="240" w:lineRule="auto"/>
        <w:rPr>
          <w:rFonts w:ascii="Arial" w:eastAsia="Arial" w:hAnsi="Arial" w:cs="Arial"/>
          <w:b/>
          <w:sz w:val="24"/>
          <w:szCs w:val="24"/>
        </w:rPr>
      </w:pPr>
    </w:p>
    <w:p w14:paraId="18907BB3" w14:textId="77777777" w:rsidR="00EE4620" w:rsidRPr="00EE4620" w:rsidRDefault="00EE4620" w:rsidP="00EE4620">
      <w:pPr>
        <w:spacing w:after="0" w:line="240" w:lineRule="auto"/>
        <w:rPr>
          <w:rFonts w:ascii="Arial" w:eastAsia="Arial" w:hAnsi="Arial" w:cs="Arial"/>
          <w:b/>
          <w:sz w:val="24"/>
          <w:szCs w:val="24"/>
        </w:rPr>
      </w:pPr>
    </w:p>
    <w:p w14:paraId="18907BB4" w14:textId="77777777" w:rsidR="00EE4620" w:rsidRPr="00EE4620" w:rsidRDefault="00EE4620" w:rsidP="00EE4620">
      <w:pPr>
        <w:spacing w:after="0" w:line="240" w:lineRule="auto"/>
        <w:rPr>
          <w:rFonts w:ascii="Arial" w:eastAsia="Arial" w:hAnsi="Arial" w:cs="Arial"/>
          <w:b/>
          <w:sz w:val="24"/>
          <w:szCs w:val="24"/>
        </w:rPr>
      </w:pPr>
    </w:p>
    <w:p w14:paraId="18907BB5" w14:textId="77777777" w:rsidR="00EE4620" w:rsidRPr="00EE4620" w:rsidRDefault="00EE4620" w:rsidP="00EE4620">
      <w:pPr>
        <w:spacing w:after="0" w:line="240" w:lineRule="auto"/>
        <w:rPr>
          <w:rFonts w:ascii="Arial" w:eastAsia="Arial" w:hAnsi="Arial" w:cs="Arial"/>
          <w:b/>
          <w:sz w:val="24"/>
          <w:szCs w:val="24"/>
        </w:rPr>
      </w:pPr>
    </w:p>
    <w:p w14:paraId="18907BB6" w14:textId="77777777" w:rsidR="00EE4620" w:rsidRPr="00EE4620" w:rsidRDefault="00EE4620" w:rsidP="00EE4620">
      <w:pPr>
        <w:spacing w:after="0" w:line="240" w:lineRule="auto"/>
        <w:rPr>
          <w:rFonts w:ascii="Arial" w:eastAsia="Arial" w:hAnsi="Arial" w:cs="Arial"/>
          <w:b/>
          <w:sz w:val="24"/>
          <w:szCs w:val="24"/>
        </w:rPr>
      </w:pPr>
    </w:p>
    <w:p w14:paraId="18907BB7" w14:textId="77777777" w:rsidR="00EE4620" w:rsidRPr="00EE4620" w:rsidRDefault="00EE4620" w:rsidP="00EE4620">
      <w:pPr>
        <w:spacing w:after="0" w:line="240" w:lineRule="auto"/>
        <w:rPr>
          <w:rFonts w:ascii="Arial" w:eastAsia="Arial" w:hAnsi="Arial" w:cs="Arial"/>
          <w:b/>
          <w:sz w:val="24"/>
          <w:szCs w:val="24"/>
        </w:rPr>
      </w:pPr>
    </w:p>
    <w:p w14:paraId="18907BB8" w14:textId="77777777" w:rsidR="00EE4620" w:rsidRPr="00EE4620" w:rsidRDefault="00EE4620" w:rsidP="00EE4620">
      <w:pPr>
        <w:spacing w:after="0" w:line="240" w:lineRule="auto"/>
        <w:rPr>
          <w:rFonts w:ascii="Arial" w:eastAsia="Arial" w:hAnsi="Arial" w:cs="Arial"/>
          <w:b/>
          <w:sz w:val="24"/>
          <w:szCs w:val="24"/>
        </w:rPr>
      </w:pPr>
    </w:p>
    <w:p w14:paraId="18907BB9" w14:textId="77777777" w:rsidR="00EE4620" w:rsidRPr="00EE4620" w:rsidRDefault="00EE4620" w:rsidP="00EE4620">
      <w:pPr>
        <w:spacing w:after="0" w:line="240" w:lineRule="auto"/>
        <w:rPr>
          <w:rFonts w:ascii="Arial" w:eastAsia="Arial" w:hAnsi="Arial" w:cs="Arial"/>
          <w:b/>
          <w:sz w:val="24"/>
          <w:szCs w:val="24"/>
        </w:rPr>
      </w:pPr>
    </w:p>
    <w:p w14:paraId="18907BBA" w14:textId="77777777" w:rsidR="00EE4620" w:rsidRPr="00EE4620" w:rsidRDefault="00EE4620" w:rsidP="00EE4620">
      <w:pPr>
        <w:spacing w:after="0" w:line="240" w:lineRule="auto"/>
        <w:rPr>
          <w:rFonts w:ascii="Arial" w:eastAsia="Arial" w:hAnsi="Arial" w:cs="Arial"/>
          <w:b/>
          <w:sz w:val="24"/>
          <w:szCs w:val="24"/>
        </w:rPr>
      </w:pPr>
    </w:p>
    <w:p w14:paraId="18907BBB" w14:textId="77777777" w:rsidR="00EE4620" w:rsidRPr="00EE4620" w:rsidRDefault="00EE4620" w:rsidP="00EE4620">
      <w:pPr>
        <w:spacing w:after="0" w:line="240" w:lineRule="auto"/>
        <w:rPr>
          <w:rFonts w:ascii="Arial" w:eastAsia="Arial" w:hAnsi="Arial" w:cs="Arial"/>
          <w:b/>
          <w:sz w:val="24"/>
          <w:szCs w:val="24"/>
        </w:rPr>
      </w:pPr>
    </w:p>
    <w:p w14:paraId="18907BBC" w14:textId="77777777" w:rsidR="00EE4620" w:rsidRPr="00EE4620" w:rsidRDefault="00EE4620" w:rsidP="00EE4620">
      <w:pPr>
        <w:spacing w:after="0" w:line="240" w:lineRule="auto"/>
        <w:rPr>
          <w:rFonts w:ascii="Arial" w:eastAsia="Arial" w:hAnsi="Arial" w:cs="Arial"/>
          <w:b/>
          <w:sz w:val="24"/>
          <w:szCs w:val="24"/>
        </w:rPr>
      </w:pPr>
    </w:p>
    <w:p w14:paraId="18907BBD" w14:textId="77777777" w:rsidR="00EE4620" w:rsidRPr="00EE4620" w:rsidRDefault="00EE4620" w:rsidP="00EE4620">
      <w:pPr>
        <w:spacing w:after="0" w:line="240" w:lineRule="auto"/>
        <w:rPr>
          <w:rFonts w:ascii="Arial" w:eastAsia="Arial" w:hAnsi="Arial" w:cs="Arial"/>
          <w:b/>
          <w:sz w:val="24"/>
          <w:szCs w:val="24"/>
        </w:rPr>
      </w:pPr>
    </w:p>
    <w:p w14:paraId="18907BBE" w14:textId="77777777" w:rsidR="00EE4620" w:rsidRPr="00EE4620" w:rsidRDefault="00EE4620" w:rsidP="00EE4620">
      <w:pPr>
        <w:spacing w:after="0" w:line="240" w:lineRule="auto"/>
        <w:rPr>
          <w:rFonts w:ascii="Arial" w:eastAsia="Arial" w:hAnsi="Arial" w:cs="Arial"/>
          <w:b/>
          <w:sz w:val="24"/>
          <w:szCs w:val="24"/>
        </w:rPr>
      </w:pPr>
    </w:p>
    <w:p w14:paraId="18907BBF" w14:textId="77777777" w:rsidR="00EE4620" w:rsidRPr="00EE4620" w:rsidRDefault="00EE4620" w:rsidP="00EE4620">
      <w:pPr>
        <w:spacing w:after="0" w:line="240" w:lineRule="auto"/>
        <w:rPr>
          <w:rFonts w:ascii="Arial" w:eastAsia="Arial" w:hAnsi="Arial" w:cs="Arial"/>
          <w:b/>
          <w:sz w:val="24"/>
          <w:szCs w:val="24"/>
        </w:rPr>
      </w:pPr>
    </w:p>
    <w:p w14:paraId="18907BC0" w14:textId="77777777" w:rsidR="00EE4620" w:rsidRPr="00EE4620" w:rsidRDefault="00EE4620" w:rsidP="00EE4620">
      <w:pPr>
        <w:spacing w:after="0" w:line="240" w:lineRule="auto"/>
        <w:rPr>
          <w:rFonts w:ascii="Arial" w:eastAsia="Arial" w:hAnsi="Arial" w:cs="Arial"/>
          <w:b/>
          <w:sz w:val="24"/>
          <w:szCs w:val="24"/>
        </w:rPr>
      </w:pPr>
    </w:p>
    <w:p w14:paraId="18907BC1" w14:textId="77777777" w:rsidR="00EE4620" w:rsidRPr="00EE4620" w:rsidRDefault="00EE4620" w:rsidP="00EE4620">
      <w:pPr>
        <w:spacing w:after="0" w:line="240" w:lineRule="auto"/>
        <w:rPr>
          <w:rFonts w:ascii="Arial" w:eastAsia="Arial" w:hAnsi="Arial" w:cs="Arial"/>
          <w:b/>
          <w:sz w:val="24"/>
          <w:szCs w:val="24"/>
        </w:rPr>
      </w:pPr>
    </w:p>
    <w:p w14:paraId="18907BC2" w14:textId="77777777" w:rsidR="00EE4620" w:rsidRPr="00EE4620" w:rsidRDefault="00EE4620" w:rsidP="00EE4620">
      <w:pPr>
        <w:spacing w:after="0" w:line="240" w:lineRule="auto"/>
        <w:rPr>
          <w:rFonts w:ascii="Arial" w:eastAsia="Arial" w:hAnsi="Arial" w:cs="Arial"/>
          <w:b/>
          <w:sz w:val="24"/>
          <w:szCs w:val="24"/>
        </w:rPr>
      </w:pPr>
    </w:p>
    <w:p w14:paraId="18907BC3" w14:textId="77777777" w:rsidR="00EE4620" w:rsidRPr="00EE4620" w:rsidRDefault="00EE4620" w:rsidP="00EE4620">
      <w:pPr>
        <w:spacing w:after="0" w:line="240" w:lineRule="auto"/>
        <w:rPr>
          <w:rFonts w:ascii="Arial" w:eastAsia="Arial" w:hAnsi="Arial" w:cs="Arial"/>
          <w:b/>
          <w:sz w:val="24"/>
          <w:szCs w:val="24"/>
        </w:rPr>
      </w:pPr>
    </w:p>
    <w:p w14:paraId="18907BC4" w14:textId="77777777" w:rsidR="00EE4620" w:rsidRPr="00EE4620" w:rsidRDefault="00EE4620" w:rsidP="00EE4620">
      <w:pPr>
        <w:spacing w:after="0" w:line="240" w:lineRule="auto"/>
        <w:rPr>
          <w:rFonts w:ascii="Arial" w:eastAsia="Arial" w:hAnsi="Arial" w:cs="Arial"/>
          <w:b/>
          <w:sz w:val="24"/>
          <w:szCs w:val="24"/>
        </w:rPr>
      </w:pPr>
    </w:p>
    <w:p w14:paraId="18907BC5" w14:textId="77777777" w:rsidR="00EE4620" w:rsidRPr="00EE4620" w:rsidRDefault="00EE4620" w:rsidP="00EE4620">
      <w:pPr>
        <w:spacing w:after="0" w:line="240" w:lineRule="auto"/>
        <w:rPr>
          <w:rFonts w:ascii="Arial" w:eastAsia="Arial" w:hAnsi="Arial" w:cs="Arial"/>
          <w:b/>
          <w:sz w:val="24"/>
          <w:szCs w:val="24"/>
        </w:rPr>
      </w:pPr>
    </w:p>
    <w:p w14:paraId="18907BC6" w14:textId="77777777" w:rsidR="00EE4620" w:rsidRPr="00EE4620" w:rsidRDefault="00EE4620" w:rsidP="00EE4620">
      <w:pPr>
        <w:spacing w:after="0" w:line="240" w:lineRule="auto"/>
        <w:rPr>
          <w:rFonts w:ascii="Arial" w:eastAsia="Arial" w:hAnsi="Arial" w:cs="Arial"/>
          <w:b/>
          <w:sz w:val="24"/>
          <w:szCs w:val="24"/>
        </w:rPr>
      </w:pPr>
    </w:p>
    <w:p w14:paraId="18907BC7" w14:textId="77777777" w:rsidR="00EE4620" w:rsidRPr="00EE4620" w:rsidRDefault="00EE4620" w:rsidP="00EE4620">
      <w:pPr>
        <w:spacing w:after="0" w:line="240" w:lineRule="auto"/>
        <w:rPr>
          <w:rFonts w:ascii="Arial" w:eastAsia="Arial" w:hAnsi="Arial" w:cs="Arial"/>
          <w:b/>
          <w:sz w:val="24"/>
          <w:szCs w:val="24"/>
        </w:rPr>
      </w:pPr>
    </w:p>
    <w:p w14:paraId="18907BC8" w14:textId="77777777" w:rsidR="00EE4620" w:rsidRPr="00EE4620" w:rsidRDefault="00EE4620" w:rsidP="00EE4620">
      <w:pPr>
        <w:spacing w:after="0" w:line="240" w:lineRule="auto"/>
        <w:rPr>
          <w:rFonts w:ascii="Arial" w:eastAsia="Arial" w:hAnsi="Arial" w:cs="Arial"/>
          <w:b/>
          <w:sz w:val="24"/>
          <w:szCs w:val="24"/>
        </w:rPr>
      </w:pPr>
    </w:p>
    <w:p w14:paraId="18907BC9" w14:textId="77777777" w:rsidR="00EE4620" w:rsidRPr="00EE4620" w:rsidRDefault="00EE4620" w:rsidP="00EE4620">
      <w:pPr>
        <w:spacing w:after="0" w:line="240" w:lineRule="auto"/>
        <w:rPr>
          <w:rFonts w:ascii="Arial" w:eastAsia="Arial" w:hAnsi="Arial" w:cs="Arial"/>
          <w:b/>
          <w:sz w:val="24"/>
          <w:szCs w:val="24"/>
        </w:rPr>
      </w:pPr>
    </w:p>
    <w:p w14:paraId="18907BCA" w14:textId="77777777" w:rsidR="00EE4620" w:rsidRPr="00EE4620" w:rsidRDefault="00EE4620" w:rsidP="00EE4620">
      <w:pPr>
        <w:spacing w:after="0" w:line="240" w:lineRule="auto"/>
        <w:rPr>
          <w:rFonts w:ascii="Arial" w:eastAsia="Arial" w:hAnsi="Arial" w:cs="Arial"/>
          <w:b/>
          <w:sz w:val="24"/>
          <w:szCs w:val="24"/>
        </w:rPr>
      </w:pPr>
    </w:p>
    <w:p w14:paraId="18907BCB" w14:textId="77777777" w:rsidR="00EE4620" w:rsidRPr="00EE4620" w:rsidRDefault="00EE4620" w:rsidP="00EE4620">
      <w:pPr>
        <w:spacing w:after="0" w:line="240" w:lineRule="auto"/>
        <w:rPr>
          <w:rFonts w:ascii="Arial" w:eastAsia="Arial" w:hAnsi="Arial" w:cs="Arial"/>
          <w:b/>
          <w:sz w:val="24"/>
          <w:szCs w:val="24"/>
        </w:rPr>
      </w:pPr>
    </w:p>
    <w:p w14:paraId="18907BCC" w14:textId="77777777" w:rsidR="00EE4620" w:rsidRPr="00EE4620" w:rsidRDefault="00EE4620" w:rsidP="00EE4620">
      <w:pPr>
        <w:spacing w:after="0" w:line="240" w:lineRule="auto"/>
        <w:rPr>
          <w:rFonts w:ascii="Arial" w:eastAsia="Arial" w:hAnsi="Arial" w:cs="Arial"/>
          <w:b/>
        </w:rPr>
      </w:pPr>
      <w:r w:rsidRPr="00EE4620">
        <w:rPr>
          <w:rFonts w:ascii="Arial" w:eastAsia="Arial" w:hAnsi="Arial" w:cs="Arial"/>
          <w:b/>
          <w:sz w:val="24"/>
          <w:szCs w:val="24"/>
        </w:rPr>
        <w:lastRenderedPageBreak/>
        <w:t xml:space="preserve">Table </w:t>
      </w:r>
      <w:r w:rsidRPr="00EE4620">
        <w:rPr>
          <w:rFonts w:ascii="Arial" w:eastAsia="Arial" w:hAnsi="Arial" w:cs="Arial"/>
          <w:b/>
        </w:rPr>
        <w:t xml:space="preserve">13 – Now I am going to read a list of services provided by the LGA.  For each, please could you tell me whether they are useful or not to your authority?  </w:t>
      </w:r>
    </w:p>
    <w:p w14:paraId="18907BCD" w14:textId="77777777" w:rsidR="00EE4620" w:rsidRPr="00EE4620" w:rsidRDefault="00EE4620" w:rsidP="00EE4620">
      <w:pPr>
        <w:spacing w:after="0" w:line="240" w:lineRule="auto"/>
        <w:jc w:val="both"/>
        <w:rPr>
          <w:rFonts w:ascii="Arial" w:eastAsia="Times New Roman" w:hAnsi="Arial" w:cs="Arial"/>
          <w:sz w:val="24"/>
          <w:szCs w:val="24"/>
          <w:lang w:eastAsia="en-GB"/>
        </w:rPr>
      </w:pPr>
      <w:r w:rsidRPr="00EE4620">
        <w:rPr>
          <w:rFonts w:ascii="Arial" w:eastAsia="Times New Roman" w:hAnsi="Arial" w:cs="Times New Roman"/>
          <w:noProof/>
          <w:sz w:val="24"/>
          <w:szCs w:val="20"/>
          <w:lang w:eastAsia="en-GB"/>
        </w:rPr>
        <w:drawing>
          <wp:inline distT="0" distB="0" distL="0" distR="0" wp14:anchorId="18907D04" wp14:editId="18907D05">
            <wp:extent cx="5278120" cy="5858884"/>
            <wp:effectExtent l="0" t="0" r="0" b="8890"/>
            <wp:docPr id="1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8907BCE" w14:textId="77777777" w:rsidR="00EE4620" w:rsidRPr="00EE4620" w:rsidRDefault="00EE4620" w:rsidP="00EE4620">
      <w:pPr>
        <w:spacing w:after="0" w:line="240" w:lineRule="auto"/>
        <w:jc w:val="both"/>
        <w:rPr>
          <w:rFonts w:ascii="Arial" w:eastAsia="Times New Roman" w:hAnsi="Arial" w:cs="Arial"/>
          <w:sz w:val="24"/>
          <w:szCs w:val="24"/>
          <w:lang w:eastAsia="en-GB"/>
        </w:rPr>
      </w:pPr>
    </w:p>
    <w:p w14:paraId="18907BCF" w14:textId="77777777" w:rsidR="00EE4620" w:rsidRPr="00EE4620" w:rsidRDefault="00EE4620" w:rsidP="00EE4620">
      <w:pPr>
        <w:spacing w:after="0" w:line="240" w:lineRule="auto"/>
        <w:rPr>
          <w:rFonts w:ascii="Arial" w:eastAsia="Times New Roman" w:hAnsi="Arial" w:cs="Arial"/>
          <w:sz w:val="24"/>
          <w:szCs w:val="24"/>
          <w:lang w:eastAsia="en-GB"/>
        </w:rPr>
      </w:pPr>
    </w:p>
    <w:p w14:paraId="18907BD0" w14:textId="77777777" w:rsidR="00EE4620" w:rsidRPr="00EE4620" w:rsidRDefault="00EE4620" w:rsidP="00EE4620">
      <w:pPr>
        <w:spacing w:after="0" w:line="240" w:lineRule="auto"/>
        <w:rPr>
          <w:rFonts w:ascii="Arial" w:eastAsia="Times New Roman" w:hAnsi="Arial" w:cs="Arial"/>
          <w:b/>
          <w:sz w:val="24"/>
          <w:szCs w:val="24"/>
          <w:lang w:eastAsia="en-GB"/>
        </w:rPr>
      </w:pPr>
    </w:p>
    <w:p w14:paraId="18907BD1" w14:textId="77777777" w:rsidR="00EE4620" w:rsidRPr="00EE4620" w:rsidRDefault="00EE4620" w:rsidP="00EE4620">
      <w:pPr>
        <w:spacing w:after="0" w:line="240" w:lineRule="auto"/>
        <w:rPr>
          <w:rFonts w:ascii="Arial" w:eastAsia="Times New Roman" w:hAnsi="Arial" w:cs="Arial"/>
          <w:b/>
          <w:sz w:val="24"/>
          <w:szCs w:val="24"/>
          <w:lang w:eastAsia="en-GB"/>
        </w:rPr>
      </w:pPr>
    </w:p>
    <w:p w14:paraId="18907BD2" w14:textId="77777777" w:rsidR="00EE4620" w:rsidRPr="00EE4620" w:rsidRDefault="00EE4620" w:rsidP="00EE4620">
      <w:pPr>
        <w:spacing w:after="0" w:line="240" w:lineRule="auto"/>
        <w:rPr>
          <w:rFonts w:ascii="Arial" w:eastAsia="Times New Roman" w:hAnsi="Arial" w:cs="Arial"/>
          <w:b/>
          <w:sz w:val="24"/>
          <w:szCs w:val="24"/>
          <w:lang w:eastAsia="en-GB"/>
        </w:rPr>
      </w:pPr>
    </w:p>
    <w:p w14:paraId="18907BD3" w14:textId="77777777" w:rsidR="00EE4620" w:rsidRPr="00EE4620" w:rsidRDefault="00EE4620" w:rsidP="00EE4620">
      <w:pPr>
        <w:spacing w:after="0" w:line="240" w:lineRule="auto"/>
        <w:rPr>
          <w:rFonts w:ascii="Arial" w:eastAsia="Times New Roman" w:hAnsi="Arial" w:cs="Arial"/>
          <w:b/>
          <w:sz w:val="24"/>
          <w:szCs w:val="24"/>
          <w:lang w:eastAsia="en-GB"/>
        </w:rPr>
      </w:pPr>
    </w:p>
    <w:p w14:paraId="18907BD4" w14:textId="77777777" w:rsidR="00EE4620" w:rsidRPr="00EE4620" w:rsidRDefault="00EE4620" w:rsidP="00EE4620">
      <w:pPr>
        <w:spacing w:after="0" w:line="240" w:lineRule="auto"/>
        <w:rPr>
          <w:rFonts w:ascii="Arial" w:eastAsia="Times New Roman" w:hAnsi="Arial" w:cs="Arial"/>
          <w:b/>
          <w:sz w:val="24"/>
          <w:szCs w:val="24"/>
          <w:lang w:eastAsia="en-GB"/>
        </w:rPr>
      </w:pPr>
    </w:p>
    <w:p w14:paraId="18907BD5" w14:textId="77777777" w:rsidR="00EE4620" w:rsidRPr="00EE4620" w:rsidRDefault="00EE4620" w:rsidP="00EE4620">
      <w:pPr>
        <w:spacing w:after="0" w:line="240" w:lineRule="auto"/>
        <w:rPr>
          <w:rFonts w:ascii="Arial" w:eastAsia="Times New Roman" w:hAnsi="Arial" w:cs="Arial"/>
          <w:b/>
          <w:lang w:eastAsia="en-GB"/>
        </w:rPr>
      </w:pPr>
      <w:r w:rsidRPr="00EE4620">
        <w:rPr>
          <w:rFonts w:ascii="Arial" w:eastAsia="Times New Roman" w:hAnsi="Arial" w:cs="Arial"/>
          <w:b/>
          <w:lang w:eastAsia="en-GB"/>
        </w:rPr>
        <w:br w:type="page"/>
      </w:r>
    </w:p>
    <w:p w14:paraId="18907BD6" w14:textId="77777777" w:rsidR="00EE4620" w:rsidRPr="00EE4620" w:rsidRDefault="00EE4620" w:rsidP="00EE4620">
      <w:pPr>
        <w:spacing w:after="0" w:line="240" w:lineRule="auto"/>
        <w:rPr>
          <w:rFonts w:ascii="Arial" w:eastAsia="Times New Roman" w:hAnsi="Arial" w:cs="Arial"/>
          <w:b/>
          <w:lang w:eastAsia="en-GB"/>
        </w:rPr>
      </w:pPr>
      <w:r w:rsidRPr="00EE4620">
        <w:rPr>
          <w:rFonts w:ascii="Arial" w:eastAsia="Times New Roman" w:hAnsi="Arial" w:cs="Arial"/>
          <w:b/>
          <w:lang w:eastAsia="en-GB"/>
        </w:rPr>
        <w:lastRenderedPageBreak/>
        <w:t>Table 14 – Which of the following services is most useful to your authority?</w:t>
      </w:r>
    </w:p>
    <w:p w14:paraId="18907BD7" w14:textId="77777777" w:rsidR="00EE4620" w:rsidRPr="00EE4620" w:rsidRDefault="00EE4620" w:rsidP="00EE4620">
      <w:pPr>
        <w:spacing w:after="0" w:line="240" w:lineRule="auto"/>
        <w:rPr>
          <w:rFonts w:ascii="Arial" w:eastAsia="Times New Roman" w:hAnsi="Arial" w:cs="Arial"/>
          <w:sz w:val="24"/>
          <w:szCs w:val="24"/>
          <w:lang w:eastAsia="en-GB"/>
        </w:rPr>
      </w:pPr>
      <w:r w:rsidRPr="00EE4620">
        <w:rPr>
          <w:rFonts w:ascii="Arial" w:eastAsia="Times New Roman" w:hAnsi="Arial" w:cs="Times New Roman"/>
          <w:noProof/>
          <w:sz w:val="24"/>
          <w:szCs w:val="20"/>
          <w:lang w:eastAsia="en-GB"/>
        </w:rPr>
        <w:drawing>
          <wp:inline distT="0" distB="0" distL="0" distR="0" wp14:anchorId="18907D06" wp14:editId="18907D07">
            <wp:extent cx="5278120" cy="4485106"/>
            <wp:effectExtent l="0" t="0" r="0" b="0"/>
            <wp:docPr id="12"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8907BD8" w14:textId="77777777" w:rsidR="00EE4620" w:rsidRPr="00EE4620" w:rsidRDefault="00EE4620" w:rsidP="00EE4620">
      <w:pPr>
        <w:spacing w:after="0" w:line="240" w:lineRule="auto"/>
        <w:jc w:val="both"/>
        <w:rPr>
          <w:rFonts w:ascii="Arial" w:eastAsia="Times New Roman" w:hAnsi="Arial" w:cs="Arial"/>
          <w:b/>
          <w:lang w:eastAsia="en-GB"/>
        </w:rPr>
      </w:pPr>
      <w:r w:rsidRPr="00EE4620">
        <w:rPr>
          <w:rFonts w:ascii="Arial" w:eastAsia="Times New Roman" w:hAnsi="Arial" w:cs="Arial"/>
          <w:b/>
          <w:lang w:eastAsia="en-GB"/>
        </w:rPr>
        <w:t>LGA communications</w:t>
      </w:r>
    </w:p>
    <w:p w14:paraId="18907BD9" w14:textId="77777777" w:rsidR="00EE4620" w:rsidRPr="00EE4620" w:rsidRDefault="00EE4620" w:rsidP="00EE4620">
      <w:pPr>
        <w:spacing w:after="0" w:line="240" w:lineRule="auto"/>
        <w:rPr>
          <w:rFonts w:ascii="Arial" w:eastAsia="Times New Roman" w:hAnsi="Arial" w:cs="Arial"/>
          <w:lang w:eastAsia="en-GB"/>
        </w:rPr>
      </w:pPr>
    </w:p>
    <w:p w14:paraId="18907BDA" w14:textId="4A846DCB" w:rsidR="00EE4620" w:rsidRPr="00EE4620" w:rsidRDefault="00EE4620" w:rsidP="00BE39C1">
      <w:pPr>
        <w:numPr>
          <w:ilvl w:val="0"/>
          <w:numId w:val="3"/>
        </w:numPr>
        <w:spacing w:before="120" w:after="360" w:line="240" w:lineRule="auto"/>
        <w:ind w:left="567" w:hanging="567"/>
        <w:contextualSpacing/>
        <w:rPr>
          <w:rFonts w:ascii="Arial" w:eastAsia="Times New Roman" w:hAnsi="Arial" w:cs="Arial"/>
          <w:lang w:eastAsia="en-GB"/>
        </w:rPr>
      </w:pPr>
      <w:r w:rsidRPr="00EE4620">
        <w:rPr>
          <w:rFonts w:ascii="Arial" w:eastAsia="Times New Roman" w:hAnsi="Arial" w:cs="Arial"/>
          <w:lang w:eastAsia="en-GB"/>
        </w:rPr>
        <w:t xml:space="preserve">The </w:t>
      </w:r>
      <w:r w:rsidRPr="00BE39C1">
        <w:rPr>
          <w:rFonts w:ascii="Arial" w:eastAsia="Times New Roman" w:hAnsi="Arial" w:cs="Arial"/>
          <w:szCs w:val="20"/>
          <w:lang w:eastAsia="en-GB"/>
        </w:rPr>
        <w:t>majority</w:t>
      </w:r>
      <w:r w:rsidRPr="00EE4620">
        <w:rPr>
          <w:rFonts w:ascii="Arial" w:eastAsia="Times New Roman" w:hAnsi="Arial" w:cs="Arial"/>
          <w:lang w:eastAsia="en-GB"/>
        </w:rPr>
        <w:t xml:space="preserve"> of respondents (</w:t>
      </w:r>
      <w:r w:rsidRPr="00EE4620">
        <w:rPr>
          <w:rFonts w:ascii="Arial" w:eastAsia="Times New Roman" w:hAnsi="Arial" w:cs="Arial"/>
          <w:b/>
          <w:lang w:eastAsia="en-GB"/>
        </w:rPr>
        <w:t>77 per cent)</w:t>
      </w:r>
      <w:r w:rsidRPr="00EE4620">
        <w:rPr>
          <w:rFonts w:ascii="Arial" w:eastAsia="Times New Roman" w:hAnsi="Arial" w:cs="Arial"/>
          <w:lang w:eastAsia="en-GB"/>
        </w:rPr>
        <w:t xml:space="preserve"> believe we keep them at least fairly well informed</w:t>
      </w:r>
      <w:r w:rsidRPr="00EE4620">
        <w:rPr>
          <w:rFonts w:ascii="Arial" w:eastAsia="Times New Roman" w:hAnsi="Arial" w:cs="Arial"/>
          <w:i/>
          <w:lang w:eastAsia="en-GB"/>
        </w:rPr>
        <w:t xml:space="preserve">.  </w:t>
      </w:r>
      <w:r w:rsidRPr="00EE4620">
        <w:rPr>
          <w:rFonts w:ascii="Arial" w:eastAsia="Times New Roman" w:hAnsi="Arial" w:cs="Arial"/>
          <w:lang w:eastAsia="en-GB"/>
        </w:rPr>
        <w:t>This is a significantly higher than in 2012 (69 per cent).</w:t>
      </w:r>
    </w:p>
    <w:p w14:paraId="18907BDB" w14:textId="77777777" w:rsidR="00EE4620" w:rsidRPr="00EE4620" w:rsidRDefault="00EE4620" w:rsidP="00EE4620">
      <w:pPr>
        <w:spacing w:after="0" w:line="240" w:lineRule="auto"/>
        <w:rPr>
          <w:rFonts w:ascii="Arial" w:eastAsia="Times New Roman" w:hAnsi="Arial" w:cs="Arial"/>
          <w:lang w:eastAsia="en-GB"/>
        </w:rPr>
      </w:pPr>
    </w:p>
    <w:p w14:paraId="18907BDC" w14:textId="66233F0F" w:rsidR="00EE4620" w:rsidRPr="00EE4620" w:rsidRDefault="00EE4620" w:rsidP="00BE39C1">
      <w:pPr>
        <w:numPr>
          <w:ilvl w:val="0"/>
          <w:numId w:val="3"/>
        </w:numPr>
        <w:spacing w:before="120" w:after="360" w:line="240" w:lineRule="auto"/>
        <w:ind w:left="567" w:hanging="567"/>
        <w:contextualSpacing/>
        <w:rPr>
          <w:rFonts w:ascii="Arial" w:eastAsia="Times New Roman" w:hAnsi="Arial" w:cs="Arial"/>
          <w:lang w:eastAsia="en-GB"/>
        </w:rPr>
      </w:pPr>
      <w:r w:rsidRPr="00EE4620">
        <w:rPr>
          <w:rFonts w:ascii="Arial" w:eastAsia="Times New Roman" w:hAnsi="Arial" w:cs="Arial"/>
          <w:lang w:eastAsia="en-GB"/>
        </w:rPr>
        <w:t>Respondents are significantly less likely to believe that the LGA only gives them a limited amount of information now than they were 12 months ago (</w:t>
      </w:r>
      <w:r w:rsidRPr="00EE4620">
        <w:rPr>
          <w:rFonts w:ascii="Arial" w:eastAsia="Times New Roman" w:hAnsi="Arial" w:cs="Arial"/>
          <w:b/>
          <w:lang w:eastAsia="en-GB"/>
        </w:rPr>
        <w:t>17</w:t>
      </w:r>
      <w:r>
        <w:rPr>
          <w:rFonts w:ascii="Arial" w:eastAsia="Times New Roman" w:hAnsi="Arial" w:cs="Arial"/>
          <w:b/>
          <w:lang w:eastAsia="en-GB"/>
        </w:rPr>
        <w:t xml:space="preserve"> </w:t>
      </w:r>
      <w:r w:rsidRPr="00EE4620">
        <w:rPr>
          <w:rFonts w:ascii="Arial" w:eastAsia="Times New Roman" w:hAnsi="Arial" w:cs="Arial"/>
          <w:b/>
          <w:lang w:eastAsia="en-GB"/>
        </w:rPr>
        <w:t>per cent</w:t>
      </w:r>
      <w:r w:rsidRPr="00EE4620">
        <w:rPr>
          <w:rFonts w:ascii="Arial" w:eastAsia="Times New Roman" w:hAnsi="Arial" w:cs="Arial"/>
          <w:lang w:eastAsia="en-GB"/>
        </w:rPr>
        <w:t xml:space="preserve"> compared with 24 per cent).</w:t>
      </w:r>
    </w:p>
    <w:p w14:paraId="18907BDD" w14:textId="77777777" w:rsidR="00EE4620" w:rsidRPr="00EE4620" w:rsidRDefault="00EE4620" w:rsidP="00EE4620">
      <w:pPr>
        <w:spacing w:after="0" w:line="240" w:lineRule="auto"/>
        <w:rPr>
          <w:rFonts w:ascii="Arial" w:eastAsia="Times New Roman" w:hAnsi="Arial" w:cs="Arial"/>
          <w:lang w:eastAsia="en-GB"/>
        </w:rPr>
      </w:pPr>
    </w:p>
    <w:p w14:paraId="18907BDE" w14:textId="253E86B7" w:rsidR="00EE4620" w:rsidRPr="00EE4620" w:rsidRDefault="00EE4620" w:rsidP="00BE39C1">
      <w:pPr>
        <w:numPr>
          <w:ilvl w:val="0"/>
          <w:numId w:val="3"/>
        </w:numPr>
        <w:spacing w:before="120" w:after="360" w:line="240" w:lineRule="auto"/>
        <w:ind w:left="567" w:hanging="567"/>
        <w:contextualSpacing/>
        <w:rPr>
          <w:rFonts w:ascii="Arial" w:eastAsia="Times New Roman" w:hAnsi="Arial" w:cs="Arial"/>
          <w:szCs w:val="20"/>
          <w:lang w:eastAsia="en-GB"/>
        </w:rPr>
      </w:pPr>
      <w:r w:rsidRPr="00EE4620">
        <w:rPr>
          <w:rFonts w:ascii="Arial" w:eastAsia="Times New Roman" w:hAnsi="Arial" w:cs="Arial"/>
          <w:b/>
          <w:szCs w:val="20"/>
          <w:lang w:eastAsia="en-GB"/>
        </w:rPr>
        <w:t>Chief executives and portfolio holders</w:t>
      </w:r>
      <w:r w:rsidRPr="00EE4620">
        <w:rPr>
          <w:rFonts w:ascii="Arial" w:eastAsia="Times New Roman" w:hAnsi="Arial" w:cs="Arial"/>
          <w:szCs w:val="20"/>
          <w:lang w:eastAsia="en-GB"/>
        </w:rPr>
        <w:t xml:space="preserve"> are particularly likely to feel very well informed (</w:t>
      </w:r>
      <w:r w:rsidRPr="00EE4620">
        <w:rPr>
          <w:rFonts w:ascii="Arial" w:eastAsia="Times New Roman" w:hAnsi="Arial" w:cs="Arial"/>
          <w:b/>
          <w:szCs w:val="20"/>
          <w:lang w:eastAsia="en-GB"/>
        </w:rPr>
        <w:t>41 per cent and 36 per cent</w:t>
      </w:r>
      <w:r w:rsidRPr="00EE4620">
        <w:rPr>
          <w:rFonts w:ascii="Arial" w:eastAsia="Times New Roman" w:hAnsi="Arial" w:cs="Arial"/>
          <w:szCs w:val="20"/>
          <w:lang w:eastAsia="en-GB"/>
        </w:rPr>
        <w:t xml:space="preserve"> respectively).  This proportion is also relatively high amongst </w:t>
      </w:r>
      <w:r w:rsidRPr="00EE4620">
        <w:rPr>
          <w:rFonts w:ascii="Arial" w:eastAsia="Times New Roman" w:hAnsi="Arial" w:cs="Arial"/>
          <w:b/>
          <w:szCs w:val="20"/>
          <w:lang w:eastAsia="en-GB"/>
        </w:rPr>
        <w:t xml:space="preserve">council </w:t>
      </w:r>
      <w:r w:rsidRPr="00EE4620">
        <w:rPr>
          <w:rFonts w:ascii="Arial" w:eastAsia="Times New Roman" w:hAnsi="Arial" w:cs="Arial"/>
          <w:szCs w:val="20"/>
          <w:lang w:eastAsia="en-GB"/>
        </w:rPr>
        <w:t>l</w:t>
      </w:r>
      <w:r w:rsidRPr="00EE4620">
        <w:rPr>
          <w:rFonts w:ascii="Arial" w:eastAsia="Times New Roman" w:hAnsi="Arial" w:cs="Arial"/>
          <w:b/>
          <w:szCs w:val="20"/>
          <w:lang w:eastAsia="en-GB"/>
        </w:rPr>
        <w:t>eaders</w:t>
      </w:r>
      <w:r w:rsidRPr="00EE4620">
        <w:rPr>
          <w:rFonts w:ascii="Arial" w:eastAsia="Times New Roman" w:hAnsi="Arial" w:cs="Arial"/>
          <w:szCs w:val="20"/>
          <w:lang w:eastAsia="en-GB"/>
        </w:rPr>
        <w:t xml:space="preserve"> (</w:t>
      </w:r>
      <w:r w:rsidRPr="00EE4620">
        <w:rPr>
          <w:rFonts w:ascii="Arial" w:eastAsia="Times New Roman" w:hAnsi="Arial" w:cs="Arial"/>
          <w:b/>
          <w:szCs w:val="20"/>
          <w:lang w:eastAsia="en-GB"/>
        </w:rPr>
        <w:t>32 per cent</w:t>
      </w:r>
      <w:r w:rsidRPr="00EE4620">
        <w:rPr>
          <w:rFonts w:ascii="Arial" w:eastAsia="Times New Roman" w:hAnsi="Arial" w:cs="Arial"/>
          <w:szCs w:val="20"/>
          <w:lang w:eastAsia="en-GB"/>
        </w:rPr>
        <w:t xml:space="preserve">). </w:t>
      </w:r>
    </w:p>
    <w:p w14:paraId="18907BDF" w14:textId="77777777" w:rsidR="00EE4620" w:rsidRPr="00EE4620" w:rsidRDefault="00EE4620" w:rsidP="00EE4620">
      <w:pPr>
        <w:spacing w:after="0" w:line="240" w:lineRule="auto"/>
        <w:rPr>
          <w:rFonts w:ascii="Arial" w:eastAsia="Times New Roman" w:hAnsi="Arial" w:cs="Arial"/>
          <w:szCs w:val="20"/>
          <w:lang w:eastAsia="en-GB"/>
        </w:rPr>
      </w:pPr>
    </w:p>
    <w:p w14:paraId="18907BE0" w14:textId="06998B19" w:rsidR="00EE4620" w:rsidRPr="00EE4620" w:rsidRDefault="00EE4620" w:rsidP="00BE39C1">
      <w:pPr>
        <w:numPr>
          <w:ilvl w:val="0"/>
          <w:numId w:val="3"/>
        </w:numPr>
        <w:spacing w:before="120" w:after="360" w:line="240" w:lineRule="auto"/>
        <w:ind w:left="567" w:hanging="567"/>
        <w:contextualSpacing/>
        <w:rPr>
          <w:rFonts w:ascii="Arial" w:eastAsia="Times New Roman" w:hAnsi="Arial" w:cs="Arial"/>
          <w:szCs w:val="20"/>
          <w:lang w:eastAsia="en-GB"/>
        </w:rPr>
      </w:pPr>
      <w:r w:rsidRPr="00EE4620">
        <w:rPr>
          <w:rFonts w:ascii="Arial" w:eastAsia="Times New Roman" w:hAnsi="Arial" w:cs="Arial"/>
          <w:b/>
          <w:szCs w:val="20"/>
          <w:lang w:eastAsia="en-GB"/>
        </w:rPr>
        <w:t>Backbench councillors</w:t>
      </w:r>
      <w:r w:rsidRPr="00EE4620">
        <w:rPr>
          <w:rFonts w:ascii="Arial" w:eastAsia="Times New Roman" w:hAnsi="Arial" w:cs="Arial"/>
          <w:szCs w:val="20"/>
          <w:lang w:eastAsia="en-GB"/>
        </w:rPr>
        <w:t xml:space="preserve"> are more likely than officers to believe they are not well informed (</w:t>
      </w:r>
      <w:r w:rsidRPr="00EE4620">
        <w:rPr>
          <w:rFonts w:ascii="Arial" w:eastAsia="Times New Roman" w:hAnsi="Arial" w:cs="Arial"/>
          <w:b/>
          <w:szCs w:val="20"/>
          <w:lang w:eastAsia="en-GB"/>
        </w:rPr>
        <w:t>26 per cent</w:t>
      </w:r>
      <w:r w:rsidRPr="00EE4620">
        <w:rPr>
          <w:rFonts w:ascii="Arial" w:eastAsia="Times New Roman" w:hAnsi="Arial" w:cs="Arial"/>
          <w:szCs w:val="20"/>
          <w:lang w:eastAsia="en-GB"/>
        </w:rPr>
        <w:t xml:space="preserve"> compared with 18 per cent).</w:t>
      </w:r>
    </w:p>
    <w:p w14:paraId="18907BE1" w14:textId="77777777" w:rsidR="00EE4620" w:rsidRPr="00EE4620" w:rsidRDefault="00EE4620" w:rsidP="00EE4620">
      <w:pPr>
        <w:spacing w:after="0" w:line="240" w:lineRule="auto"/>
        <w:rPr>
          <w:rFonts w:ascii="Arial" w:eastAsia="Times New Roman" w:hAnsi="Arial" w:cs="Arial"/>
          <w:szCs w:val="20"/>
          <w:lang w:eastAsia="en-GB"/>
        </w:rPr>
      </w:pPr>
    </w:p>
    <w:p w14:paraId="18907BE2" w14:textId="209B2739" w:rsidR="00EE4620" w:rsidRPr="00EE4620" w:rsidRDefault="00EE4620" w:rsidP="00BE39C1">
      <w:pPr>
        <w:numPr>
          <w:ilvl w:val="0"/>
          <w:numId w:val="3"/>
        </w:numPr>
        <w:spacing w:before="120" w:after="360" w:line="240" w:lineRule="auto"/>
        <w:ind w:left="567" w:hanging="567"/>
        <w:contextualSpacing/>
        <w:rPr>
          <w:rFonts w:ascii="Arial" w:eastAsia="Times New Roman" w:hAnsi="Arial" w:cs="Arial"/>
          <w:szCs w:val="20"/>
          <w:lang w:eastAsia="en-GB"/>
        </w:rPr>
      </w:pPr>
      <w:r w:rsidRPr="00EE4620">
        <w:rPr>
          <w:rFonts w:ascii="Arial" w:eastAsia="Times New Roman" w:hAnsi="Arial" w:cs="Arial"/>
          <w:szCs w:val="20"/>
          <w:lang w:eastAsia="en-GB"/>
        </w:rPr>
        <w:t xml:space="preserve">Respondents in the </w:t>
      </w:r>
      <w:r w:rsidRPr="00EE4620">
        <w:rPr>
          <w:rFonts w:ascii="Arial" w:eastAsia="Times New Roman" w:hAnsi="Arial" w:cs="Arial"/>
          <w:b/>
          <w:szCs w:val="20"/>
          <w:lang w:eastAsia="en-GB"/>
        </w:rPr>
        <w:t>East Midlands</w:t>
      </w:r>
      <w:r w:rsidRPr="00EE4620">
        <w:rPr>
          <w:rFonts w:ascii="Arial" w:eastAsia="Times New Roman" w:hAnsi="Arial" w:cs="Arial"/>
          <w:szCs w:val="20"/>
          <w:lang w:eastAsia="en-GB"/>
        </w:rPr>
        <w:t xml:space="preserve"> (</w:t>
      </w:r>
      <w:r w:rsidRPr="00EE4620">
        <w:rPr>
          <w:rFonts w:ascii="Arial" w:eastAsia="Times New Roman" w:hAnsi="Arial" w:cs="Arial"/>
          <w:b/>
          <w:szCs w:val="20"/>
          <w:lang w:eastAsia="en-GB"/>
        </w:rPr>
        <w:t>40 per cent</w:t>
      </w:r>
      <w:r w:rsidRPr="00EE4620">
        <w:rPr>
          <w:rFonts w:ascii="Arial" w:eastAsia="Times New Roman" w:hAnsi="Arial" w:cs="Arial"/>
          <w:szCs w:val="20"/>
          <w:lang w:eastAsia="en-GB"/>
        </w:rPr>
        <w:t xml:space="preserve">) and </w:t>
      </w:r>
      <w:r w:rsidRPr="00EE4620">
        <w:rPr>
          <w:rFonts w:ascii="Arial" w:eastAsia="Times New Roman" w:hAnsi="Arial" w:cs="Arial"/>
          <w:b/>
          <w:szCs w:val="20"/>
          <w:lang w:eastAsia="en-GB"/>
        </w:rPr>
        <w:t>South West</w:t>
      </w:r>
      <w:r w:rsidRPr="00EE4620">
        <w:rPr>
          <w:rFonts w:ascii="Arial" w:eastAsia="Times New Roman" w:hAnsi="Arial" w:cs="Arial"/>
          <w:szCs w:val="20"/>
          <w:lang w:eastAsia="en-GB"/>
        </w:rPr>
        <w:t xml:space="preserve"> (</w:t>
      </w:r>
      <w:r w:rsidRPr="00EE4620">
        <w:rPr>
          <w:rFonts w:ascii="Arial" w:eastAsia="Times New Roman" w:hAnsi="Arial" w:cs="Arial"/>
          <w:b/>
          <w:szCs w:val="20"/>
          <w:lang w:eastAsia="en-GB"/>
        </w:rPr>
        <w:t xml:space="preserve">36 per </w:t>
      </w:r>
      <w:r w:rsidRPr="00EE4620">
        <w:rPr>
          <w:rFonts w:ascii="Arial" w:eastAsia="Times New Roman" w:hAnsi="Arial" w:cs="Arial"/>
          <w:b/>
          <w:szCs w:val="20"/>
          <w:lang w:eastAsia="en-GB"/>
        </w:rPr>
        <w:tab/>
        <w:t>cent</w:t>
      </w:r>
      <w:r w:rsidRPr="00EE4620">
        <w:rPr>
          <w:rFonts w:ascii="Arial" w:eastAsia="Times New Roman" w:hAnsi="Arial" w:cs="Arial"/>
          <w:szCs w:val="20"/>
          <w:lang w:eastAsia="en-GB"/>
        </w:rPr>
        <w:t>) are most likely to believe they are very well informed.</w:t>
      </w:r>
    </w:p>
    <w:p w14:paraId="18907BE3" w14:textId="77777777" w:rsidR="00EE4620" w:rsidRPr="00EE4620" w:rsidRDefault="00EE4620" w:rsidP="00EE4620">
      <w:pPr>
        <w:spacing w:after="0" w:line="240" w:lineRule="auto"/>
        <w:rPr>
          <w:rFonts w:ascii="Arial" w:eastAsia="Times New Roman" w:hAnsi="Arial" w:cs="Arial"/>
          <w:szCs w:val="20"/>
          <w:lang w:eastAsia="en-GB"/>
        </w:rPr>
      </w:pPr>
    </w:p>
    <w:p w14:paraId="18907BE4" w14:textId="755CD2FB" w:rsidR="00EE4620" w:rsidRPr="00EE4620" w:rsidRDefault="00EE4620" w:rsidP="00BE39C1">
      <w:pPr>
        <w:numPr>
          <w:ilvl w:val="0"/>
          <w:numId w:val="3"/>
        </w:numPr>
        <w:spacing w:before="120" w:after="360" w:line="240" w:lineRule="auto"/>
        <w:ind w:left="567" w:hanging="567"/>
        <w:contextualSpacing/>
        <w:rPr>
          <w:rFonts w:ascii="Arial" w:eastAsia="Times New Roman" w:hAnsi="Arial" w:cs="Arial"/>
          <w:szCs w:val="20"/>
          <w:lang w:eastAsia="en-GB"/>
        </w:rPr>
      </w:pPr>
      <w:r w:rsidRPr="00EE4620">
        <w:rPr>
          <w:rFonts w:ascii="Arial" w:eastAsia="Times New Roman" w:hAnsi="Arial" w:cs="Arial"/>
          <w:szCs w:val="20"/>
          <w:lang w:eastAsia="en-GB"/>
        </w:rPr>
        <w:t xml:space="preserve">Those in the </w:t>
      </w:r>
      <w:r w:rsidRPr="00EE4620">
        <w:rPr>
          <w:rFonts w:ascii="Arial" w:eastAsia="Times New Roman" w:hAnsi="Arial" w:cs="Arial"/>
          <w:b/>
          <w:szCs w:val="20"/>
          <w:lang w:eastAsia="en-GB"/>
        </w:rPr>
        <w:t>South East</w:t>
      </w:r>
      <w:r w:rsidRPr="00EE4620">
        <w:rPr>
          <w:rFonts w:ascii="Arial" w:eastAsia="Times New Roman" w:hAnsi="Arial" w:cs="Arial"/>
          <w:szCs w:val="20"/>
          <w:lang w:eastAsia="en-GB"/>
        </w:rPr>
        <w:t xml:space="preserve"> (</w:t>
      </w:r>
      <w:r w:rsidRPr="00EE4620">
        <w:rPr>
          <w:rFonts w:ascii="Arial" w:eastAsia="Times New Roman" w:hAnsi="Arial" w:cs="Arial"/>
          <w:b/>
          <w:szCs w:val="20"/>
          <w:lang w:eastAsia="en-GB"/>
        </w:rPr>
        <w:t>17 per cent</w:t>
      </w:r>
      <w:r w:rsidRPr="00EE4620">
        <w:rPr>
          <w:rFonts w:ascii="Arial" w:eastAsia="Times New Roman" w:hAnsi="Arial" w:cs="Arial"/>
          <w:szCs w:val="20"/>
          <w:lang w:eastAsia="en-GB"/>
        </w:rPr>
        <w:t xml:space="preserve">) and </w:t>
      </w:r>
      <w:r w:rsidRPr="00EE4620">
        <w:rPr>
          <w:rFonts w:ascii="Arial" w:eastAsia="Times New Roman" w:hAnsi="Arial" w:cs="Arial"/>
          <w:b/>
          <w:szCs w:val="20"/>
          <w:lang w:eastAsia="en-GB"/>
        </w:rPr>
        <w:t>West Midlands</w:t>
      </w:r>
      <w:r w:rsidRPr="00EE4620">
        <w:rPr>
          <w:rFonts w:ascii="Arial" w:eastAsia="Times New Roman" w:hAnsi="Arial" w:cs="Arial"/>
          <w:szCs w:val="20"/>
          <w:lang w:eastAsia="en-GB"/>
        </w:rPr>
        <w:t xml:space="preserve"> (</w:t>
      </w:r>
      <w:r w:rsidRPr="00EE4620">
        <w:rPr>
          <w:rFonts w:ascii="Arial" w:eastAsia="Times New Roman" w:hAnsi="Arial" w:cs="Arial"/>
          <w:b/>
          <w:szCs w:val="20"/>
          <w:lang w:eastAsia="en-GB"/>
        </w:rPr>
        <w:t>19 per cent</w:t>
      </w:r>
      <w:r w:rsidRPr="00EE4620">
        <w:rPr>
          <w:rFonts w:ascii="Arial" w:eastAsia="Times New Roman" w:hAnsi="Arial" w:cs="Arial"/>
          <w:szCs w:val="20"/>
          <w:lang w:eastAsia="en-GB"/>
        </w:rPr>
        <w:t>) are least likely to believe this to be the case.</w:t>
      </w:r>
    </w:p>
    <w:p w14:paraId="18907BE5" w14:textId="77777777" w:rsidR="00EE4620" w:rsidRPr="00EE4620" w:rsidRDefault="00EE4620" w:rsidP="00EE4620">
      <w:pPr>
        <w:spacing w:after="0" w:line="240" w:lineRule="auto"/>
        <w:rPr>
          <w:rFonts w:ascii="Arial" w:eastAsia="Times New Roman" w:hAnsi="Arial" w:cs="Arial"/>
          <w:b/>
          <w:lang w:eastAsia="en-GB"/>
        </w:rPr>
      </w:pPr>
    </w:p>
    <w:p w14:paraId="18907BE6" w14:textId="77777777" w:rsidR="00EE4620" w:rsidRPr="00EE4620" w:rsidRDefault="00EE4620" w:rsidP="00EE4620">
      <w:pPr>
        <w:spacing w:after="0" w:line="240" w:lineRule="auto"/>
        <w:rPr>
          <w:rFonts w:ascii="Arial" w:eastAsia="Times New Roman" w:hAnsi="Arial" w:cs="Arial"/>
          <w:b/>
          <w:lang w:eastAsia="en-GB"/>
        </w:rPr>
      </w:pPr>
    </w:p>
    <w:p w14:paraId="18907BE7" w14:textId="77777777" w:rsidR="00EE4620" w:rsidRPr="00EE4620" w:rsidRDefault="00EE4620" w:rsidP="00EE4620">
      <w:pPr>
        <w:spacing w:after="0" w:line="240" w:lineRule="auto"/>
        <w:rPr>
          <w:rFonts w:ascii="Arial" w:eastAsia="Times New Roman" w:hAnsi="Arial" w:cs="Arial"/>
          <w:sz w:val="24"/>
          <w:szCs w:val="24"/>
          <w:lang w:eastAsia="en-GB"/>
        </w:rPr>
      </w:pPr>
      <w:r w:rsidRPr="00EE4620">
        <w:rPr>
          <w:rFonts w:ascii="Arial" w:eastAsia="Times New Roman" w:hAnsi="Arial" w:cs="Arial"/>
          <w:b/>
          <w:lang w:eastAsia="en-GB"/>
        </w:rPr>
        <w:t>Table 15 - How well informed, if at all, do you think the LGA keeps you about its work?</w:t>
      </w:r>
      <w:r w:rsidRPr="00EE4620">
        <w:rPr>
          <w:rFonts w:ascii="Arial" w:eastAsia="Times New Roman" w:hAnsi="Arial" w:cs="Arial"/>
          <w:lang w:eastAsia="en-GB"/>
        </w:rPr>
        <w:t xml:space="preserve"> </w:t>
      </w:r>
      <w:r w:rsidRPr="00EE4620">
        <w:rPr>
          <w:rFonts w:ascii="Arial" w:eastAsia="Times New Roman" w:hAnsi="Arial" w:cs="Times New Roman"/>
          <w:noProof/>
          <w:sz w:val="24"/>
          <w:szCs w:val="20"/>
          <w:lang w:eastAsia="en-GB"/>
        </w:rPr>
        <w:drawing>
          <wp:inline distT="0" distB="0" distL="0" distR="0" wp14:anchorId="18907D08" wp14:editId="18907D09">
            <wp:extent cx="5278120" cy="4121303"/>
            <wp:effectExtent l="0" t="0" r="0" b="0"/>
            <wp:docPr id="13"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8907BE8" w14:textId="77777777" w:rsidR="00EE4620" w:rsidRPr="00EE4620" w:rsidRDefault="00EE4620" w:rsidP="00EE4620">
      <w:pPr>
        <w:spacing w:after="0" w:line="240" w:lineRule="auto"/>
        <w:rPr>
          <w:rFonts w:ascii="Arial" w:eastAsia="Times New Roman" w:hAnsi="Arial" w:cs="Arial"/>
          <w:sz w:val="24"/>
          <w:szCs w:val="24"/>
          <w:lang w:eastAsia="en-GB"/>
        </w:rPr>
      </w:pPr>
    </w:p>
    <w:p w14:paraId="18907BE9" w14:textId="77777777" w:rsidR="00EE4620" w:rsidRPr="00EE4620" w:rsidRDefault="00EE4620" w:rsidP="00EE4620">
      <w:pPr>
        <w:spacing w:after="0" w:line="240" w:lineRule="auto"/>
        <w:rPr>
          <w:rFonts w:ascii="Arial" w:eastAsia="Times New Roman" w:hAnsi="Arial" w:cs="Arial"/>
          <w:b/>
          <w:lang w:eastAsia="en-GB"/>
        </w:rPr>
      </w:pPr>
      <w:r w:rsidRPr="00EE4620">
        <w:rPr>
          <w:rFonts w:ascii="Arial" w:eastAsia="Times New Roman" w:hAnsi="Arial" w:cs="Arial"/>
          <w:b/>
          <w:lang w:eastAsia="en-GB"/>
        </w:rPr>
        <w:t>Channels of communication</w:t>
      </w:r>
    </w:p>
    <w:p w14:paraId="18907BEA" w14:textId="77777777" w:rsidR="00EE4620" w:rsidRPr="00EE4620" w:rsidRDefault="00EE4620" w:rsidP="00EE4620">
      <w:pPr>
        <w:spacing w:after="0" w:line="240" w:lineRule="auto"/>
        <w:rPr>
          <w:rFonts w:ascii="Arial" w:eastAsia="Times New Roman" w:hAnsi="Arial" w:cs="Arial"/>
          <w:lang w:eastAsia="en-GB"/>
        </w:rPr>
      </w:pPr>
    </w:p>
    <w:p w14:paraId="18907BEB" w14:textId="1EC9FB9A" w:rsidR="00EE4620" w:rsidRPr="00EE4620" w:rsidRDefault="00EE4620" w:rsidP="00046326">
      <w:pPr>
        <w:numPr>
          <w:ilvl w:val="0"/>
          <w:numId w:val="3"/>
        </w:numPr>
        <w:spacing w:before="120" w:after="360" w:line="240" w:lineRule="auto"/>
        <w:ind w:left="567" w:hanging="567"/>
        <w:contextualSpacing/>
        <w:rPr>
          <w:rFonts w:ascii="Arial" w:eastAsia="Times New Roman" w:hAnsi="Arial" w:cs="Arial"/>
          <w:lang w:eastAsia="en-GB"/>
        </w:rPr>
      </w:pPr>
      <w:r w:rsidRPr="00EE4620">
        <w:rPr>
          <w:rFonts w:ascii="Arial" w:eastAsia="Times New Roman" w:hAnsi="Arial" w:cs="Arial"/>
          <w:lang w:eastAsia="en-GB"/>
        </w:rPr>
        <w:t>As in 2012, respondents reported that they find about the work of the LGA in a range of different ways.  First magazine is most frequently mentioned (</w:t>
      </w:r>
      <w:r w:rsidRPr="00EE4620">
        <w:rPr>
          <w:rFonts w:ascii="Arial" w:eastAsia="Times New Roman" w:hAnsi="Arial" w:cs="Arial"/>
          <w:b/>
          <w:lang w:eastAsia="en-GB"/>
        </w:rPr>
        <w:t>67 per cent)</w:t>
      </w:r>
      <w:r w:rsidRPr="00EE4620">
        <w:rPr>
          <w:rFonts w:ascii="Arial" w:eastAsia="Times New Roman" w:hAnsi="Arial" w:cs="Arial"/>
          <w:lang w:eastAsia="en-GB"/>
        </w:rPr>
        <w:t xml:space="preserve"> as was the case in 2012).  Other important sources of information include events (</w:t>
      </w:r>
      <w:r w:rsidRPr="00EE4620">
        <w:rPr>
          <w:rFonts w:ascii="Arial" w:eastAsia="Times New Roman" w:hAnsi="Arial" w:cs="Arial"/>
          <w:b/>
          <w:lang w:eastAsia="en-GB"/>
        </w:rPr>
        <w:t>50 per cent</w:t>
      </w:r>
      <w:r w:rsidRPr="00EE4620">
        <w:rPr>
          <w:rFonts w:ascii="Arial" w:eastAsia="Times New Roman" w:hAnsi="Arial" w:cs="Arial"/>
          <w:lang w:eastAsia="en-GB"/>
        </w:rPr>
        <w:t>), media work (</w:t>
      </w:r>
      <w:r w:rsidRPr="00EE4620">
        <w:rPr>
          <w:rFonts w:ascii="Arial" w:eastAsia="Times New Roman" w:hAnsi="Arial" w:cs="Arial"/>
          <w:b/>
          <w:lang w:eastAsia="en-GB"/>
        </w:rPr>
        <w:t>49 per cent</w:t>
      </w:r>
      <w:r w:rsidRPr="00EE4620">
        <w:rPr>
          <w:rFonts w:ascii="Arial" w:eastAsia="Times New Roman" w:hAnsi="Arial" w:cs="Arial"/>
          <w:lang w:eastAsia="en-GB"/>
        </w:rPr>
        <w:t>) and website (</w:t>
      </w:r>
      <w:r w:rsidRPr="00EE4620">
        <w:rPr>
          <w:rFonts w:ascii="Arial" w:eastAsia="Times New Roman" w:hAnsi="Arial" w:cs="Arial"/>
          <w:b/>
          <w:lang w:eastAsia="en-GB"/>
        </w:rPr>
        <w:t>47 per cent</w:t>
      </w:r>
      <w:r w:rsidRPr="00EE4620">
        <w:rPr>
          <w:rFonts w:ascii="Arial" w:eastAsia="Times New Roman" w:hAnsi="Arial" w:cs="Arial"/>
          <w:lang w:eastAsia="en-GB"/>
        </w:rPr>
        <w:t>).</w:t>
      </w:r>
    </w:p>
    <w:p w14:paraId="18907BEC" w14:textId="77777777" w:rsidR="00EE4620" w:rsidRPr="00EE4620" w:rsidRDefault="00EE4620" w:rsidP="00EE4620">
      <w:pPr>
        <w:spacing w:after="0" w:line="240" w:lineRule="auto"/>
        <w:rPr>
          <w:rFonts w:ascii="Arial" w:eastAsia="Times New Roman" w:hAnsi="Arial" w:cs="Arial"/>
          <w:lang w:eastAsia="en-GB"/>
        </w:rPr>
      </w:pPr>
    </w:p>
    <w:p w14:paraId="18907BED" w14:textId="4D28E076" w:rsidR="00EE4620" w:rsidRPr="00EE4620" w:rsidRDefault="00EE4620" w:rsidP="00046326">
      <w:pPr>
        <w:numPr>
          <w:ilvl w:val="0"/>
          <w:numId w:val="3"/>
        </w:numPr>
        <w:spacing w:before="120" w:after="360" w:line="240" w:lineRule="auto"/>
        <w:ind w:left="567" w:hanging="567"/>
        <w:contextualSpacing/>
        <w:rPr>
          <w:rFonts w:ascii="Arial" w:eastAsia="Times New Roman" w:hAnsi="Arial" w:cs="Times New Roman"/>
          <w:szCs w:val="20"/>
          <w:lang w:eastAsia="en-GB"/>
        </w:rPr>
      </w:pPr>
      <w:r w:rsidRPr="00046326">
        <w:rPr>
          <w:rFonts w:ascii="Arial" w:eastAsia="Times New Roman" w:hAnsi="Arial" w:cs="Arial"/>
          <w:b/>
          <w:lang w:eastAsia="en-GB"/>
        </w:rPr>
        <w:t>Frontbench</w:t>
      </w:r>
      <w:r w:rsidRPr="00EE4620">
        <w:rPr>
          <w:rFonts w:ascii="Arial" w:eastAsia="Times New Roman" w:hAnsi="Arial" w:cs="Times New Roman"/>
          <w:b/>
          <w:lang w:eastAsia="en-GB"/>
        </w:rPr>
        <w:t xml:space="preserve"> councillors</w:t>
      </w:r>
      <w:r w:rsidRPr="00EE4620">
        <w:rPr>
          <w:rFonts w:ascii="Arial" w:eastAsia="Times New Roman" w:hAnsi="Arial" w:cs="Times New Roman"/>
          <w:lang w:eastAsia="en-GB"/>
        </w:rPr>
        <w:t xml:space="preserve"> are most likely to find out about the LGA’s work through events (</w:t>
      </w:r>
      <w:r w:rsidRPr="00EE4620">
        <w:rPr>
          <w:rFonts w:ascii="Arial" w:eastAsia="Times New Roman" w:hAnsi="Arial" w:cs="Times New Roman"/>
          <w:b/>
          <w:lang w:eastAsia="en-GB"/>
        </w:rPr>
        <w:t>47 per cent</w:t>
      </w:r>
      <w:r w:rsidRPr="00EE4620">
        <w:rPr>
          <w:rFonts w:ascii="Arial" w:eastAsia="Times New Roman" w:hAnsi="Arial" w:cs="Times New Roman"/>
          <w:lang w:eastAsia="en-GB"/>
        </w:rPr>
        <w:t>), media work (</w:t>
      </w:r>
      <w:r w:rsidRPr="00EE4620">
        <w:rPr>
          <w:rFonts w:ascii="Arial" w:eastAsia="Times New Roman" w:hAnsi="Arial" w:cs="Times New Roman"/>
          <w:b/>
          <w:lang w:eastAsia="en-GB"/>
        </w:rPr>
        <w:t>44 per cent</w:t>
      </w:r>
      <w:r w:rsidRPr="00EE4620">
        <w:rPr>
          <w:rFonts w:ascii="Arial" w:eastAsia="Times New Roman" w:hAnsi="Arial" w:cs="Times New Roman"/>
          <w:lang w:eastAsia="en-GB"/>
        </w:rPr>
        <w:t>), publications (</w:t>
      </w:r>
      <w:r w:rsidRPr="00EE4620">
        <w:rPr>
          <w:rFonts w:ascii="Arial" w:eastAsia="Times New Roman" w:hAnsi="Arial" w:cs="Times New Roman"/>
          <w:b/>
          <w:lang w:eastAsia="en-GB"/>
        </w:rPr>
        <w:t>41 per cent</w:t>
      </w:r>
      <w:r w:rsidRPr="00EE4620">
        <w:rPr>
          <w:rFonts w:ascii="Arial" w:eastAsia="Times New Roman" w:hAnsi="Arial" w:cs="Times New Roman"/>
          <w:lang w:eastAsia="en-GB"/>
        </w:rPr>
        <w:t>) and face-to-face contact (</w:t>
      </w:r>
      <w:r w:rsidRPr="00EE4620">
        <w:rPr>
          <w:rFonts w:ascii="Arial" w:eastAsia="Times New Roman" w:hAnsi="Arial" w:cs="Times New Roman"/>
          <w:b/>
          <w:lang w:eastAsia="en-GB"/>
        </w:rPr>
        <w:t>28 per cent</w:t>
      </w:r>
      <w:r w:rsidRPr="00EE4620">
        <w:rPr>
          <w:rFonts w:ascii="Arial" w:eastAsia="Times New Roman" w:hAnsi="Arial" w:cs="Times New Roman"/>
          <w:lang w:eastAsia="en-GB"/>
        </w:rPr>
        <w:t>).</w:t>
      </w:r>
    </w:p>
    <w:p w14:paraId="18907BEE" w14:textId="77777777" w:rsidR="00EE4620" w:rsidRPr="00EE4620" w:rsidRDefault="00EE4620" w:rsidP="00EE4620">
      <w:pPr>
        <w:spacing w:after="0" w:line="240" w:lineRule="auto"/>
        <w:rPr>
          <w:rFonts w:ascii="Arial" w:eastAsia="Times New Roman" w:hAnsi="Arial" w:cs="Times New Roman"/>
          <w:szCs w:val="20"/>
          <w:lang w:eastAsia="en-GB"/>
        </w:rPr>
      </w:pPr>
    </w:p>
    <w:p w14:paraId="18907BEF" w14:textId="107B5960" w:rsidR="00EE4620" w:rsidRPr="00EE4620" w:rsidRDefault="00EE4620" w:rsidP="00046326">
      <w:pPr>
        <w:numPr>
          <w:ilvl w:val="0"/>
          <w:numId w:val="3"/>
        </w:numPr>
        <w:spacing w:before="120" w:after="360" w:line="240" w:lineRule="auto"/>
        <w:ind w:left="567" w:hanging="567"/>
        <w:contextualSpacing/>
        <w:rPr>
          <w:rFonts w:ascii="Arial" w:eastAsia="Times New Roman" w:hAnsi="Arial" w:cs="Arial"/>
          <w:szCs w:val="20"/>
          <w:lang w:eastAsia="en-GB"/>
        </w:rPr>
      </w:pPr>
      <w:r w:rsidRPr="00EE4620">
        <w:rPr>
          <w:rFonts w:ascii="Arial" w:eastAsia="Times New Roman" w:hAnsi="Arial" w:cs="Arial"/>
          <w:b/>
          <w:lang w:eastAsia="en-GB"/>
        </w:rPr>
        <w:t xml:space="preserve">Backbench councillors </w:t>
      </w:r>
      <w:r w:rsidRPr="00EE4620">
        <w:rPr>
          <w:rFonts w:ascii="Arial" w:eastAsia="Times New Roman" w:hAnsi="Arial" w:cs="Arial"/>
          <w:lang w:eastAsia="en-GB"/>
        </w:rPr>
        <w:t>most frequently cite media work (</w:t>
      </w:r>
      <w:r w:rsidRPr="00EE4620">
        <w:rPr>
          <w:rFonts w:ascii="Arial" w:eastAsia="Times New Roman" w:hAnsi="Arial" w:cs="Arial"/>
          <w:b/>
          <w:lang w:eastAsia="en-GB"/>
        </w:rPr>
        <w:t>36 per cent</w:t>
      </w:r>
      <w:r w:rsidR="000A08A0">
        <w:rPr>
          <w:rFonts w:ascii="Arial" w:eastAsia="Times New Roman" w:hAnsi="Arial" w:cs="Arial"/>
          <w:lang w:eastAsia="en-GB"/>
        </w:rPr>
        <w:t xml:space="preserve">) as </w:t>
      </w:r>
      <w:r w:rsidRPr="00EE4620">
        <w:rPr>
          <w:rFonts w:ascii="Arial" w:eastAsia="Times New Roman" w:hAnsi="Arial" w:cs="Arial"/>
          <w:lang w:eastAsia="en-GB"/>
        </w:rPr>
        <w:t>how they find out about the LGA’s work.</w:t>
      </w:r>
    </w:p>
    <w:p w14:paraId="18907BF0" w14:textId="77777777" w:rsidR="00EE4620" w:rsidRPr="00EE4620" w:rsidRDefault="00EE4620" w:rsidP="00EE4620">
      <w:pPr>
        <w:spacing w:after="0" w:line="240" w:lineRule="auto"/>
        <w:rPr>
          <w:rFonts w:ascii="Arial" w:eastAsia="Times New Roman" w:hAnsi="Arial" w:cs="Arial"/>
          <w:szCs w:val="20"/>
          <w:lang w:eastAsia="en-GB"/>
        </w:rPr>
      </w:pPr>
    </w:p>
    <w:p w14:paraId="18907BF1" w14:textId="6A2840CC" w:rsidR="00EE4620" w:rsidRPr="00EE4620" w:rsidRDefault="00EE4620" w:rsidP="00046326">
      <w:pPr>
        <w:numPr>
          <w:ilvl w:val="0"/>
          <w:numId w:val="3"/>
        </w:numPr>
        <w:spacing w:before="120" w:after="360" w:line="240" w:lineRule="auto"/>
        <w:ind w:left="567" w:hanging="567"/>
        <w:contextualSpacing/>
        <w:rPr>
          <w:rFonts w:ascii="Arial" w:eastAsia="Times New Roman" w:hAnsi="Arial" w:cs="Arial"/>
          <w:lang w:eastAsia="en-GB"/>
        </w:rPr>
      </w:pPr>
      <w:r w:rsidRPr="00EE4620">
        <w:rPr>
          <w:rFonts w:ascii="Arial" w:eastAsia="Times New Roman" w:hAnsi="Arial" w:cs="Arial"/>
          <w:b/>
          <w:lang w:eastAsia="en-GB"/>
        </w:rPr>
        <w:t xml:space="preserve">Officers </w:t>
      </w:r>
      <w:r w:rsidRPr="00EE4620">
        <w:rPr>
          <w:rFonts w:ascii="Arial" w:eastAsia="Times New Roman" w:hAnsi="Arial" w:cs="Arial"/>
          <w:lang w:eastAsia="en-GB"/>
        </w:rPr>
        <w:t>are most likely to find out about the LGA’s work through events (</w:t>
      </w:r>
      <w:r w:rsidRPr="00EE4620">
        <w:rPr>
          <w:rFonts w:ascii="Arial" w:eastAsia="Times New Roman" w:hAnsi="Arial" w:cs="Arial"/>
          <w:b/>
          <w:lang w:eastAsia="en-GB"/>
        </w:rPr>
        <w:t>70 per cent</w:t>
      </w:r>
      <w:r w:rsidRPr="00EE4620">
        <w:rPr>
          <w:rFonts w:ascii="Arial" w:eastAsia="Times New Roman" w:hAnsi="Arial" w:cs="Arial"/>
          <w:lang w:eastAsia="en-GB"/>
        </w:rPr>
        <w:t>), media work (</w:t>
      </w:r>
      <w:r w:rsidRPr="00EE4620">
        <w:rPr>
          <w:rFonts w:ascii="Arial" w:eastAsia="Times New Roman" w:hAnsi="Arial" w:cs="Arial"/>
          <w:b/>
          <w:lang w:eastAsia="en-GB"/>
        </w:rPr>
        <w:t>65 per cent</w:t>
      </w:r>
      <w:r w:rsidRPr="00EE4620">
        <w:rPr>
          <w:rFonts w:ascii="Arial" w:eastAsia="Times New Roman" w:hAnsi="Arial" w:cs="Arial"/>
          <w:lang w:eastAsia="en-GB"/>
        </w:rPr>
        <w:t>) and publications (</w:t>
      </w:r>
      <w:r w:rsidRPr="00EE4620">
        <w:rPr>
          <w:rFonts w:ascii="Arial" w:eastAsia="Times New Roman" w:hAnsi="Arial" w:cs="Arial"/>
          <w:b/>
          <w:lang w:eastAsia="en-GB"/>
        </w:rPr>
        <w:t>60 per cent</w:t>
      </w:r>
      <w:r w:rsidRPr="00EE4620">
        <w:rPr>
          <w:rFonts w:ascii="Arial" w:eastAsia="Times New Roman" w:hAnsi="Arial" w:cs="Arial"/>
          <w:lang w:eastAsia="en-GB"/>
        </w:rPr>
        <w:t xml:space="preserve">). </w:t>
      </w:r>
    </w:p>
    <w:p w14:paraId="18907BF2" w14:textId="77777777" w:rsidR="00EE4620" w:rsidRPr="00EE4620" w:rsidRDefault="00EE4620" w:rsidP="00EE4620">
      <w:pPr>
        <w:spacing w:after="0" w:line="240" w:lineRule="auto"/>
        <w:rPr>
          <w:rFonts w:ascii="Arial" w:eastAsia="Times New Roman" w:hAnsi="Arial" w:cs="Arial"/>
          <w:b/>
          <w:lang w:eastAsia="en-GB"/>
        </w:rPr>
      </w:pPr>
    </w:p>
    <w:p w14:paraId="18907BF3" w14:textId="77777777" w:rsidR="00EE4620" w:rsidRPr="00EE4620" w:rsidRDefault="00EE4620" w:rsidP="00EE4620">
      <w:pPr>
        <w:spacing w:after="0" w:line="240" w:lineRule="auto"/>
        <w:rPr>
          <w:rFonts w:ascii="Arial" w:eastAsia="Times New Roman" w:hAnsi="Arial" w:cs="Arial"/>
          <w:b/>
          <w:lang w:eastAsia="en-GB"/>
        </w:rPr>
      </w:pPr>
    </w:p>
    <w:p w14:paraId="18907BF4" w14:textId="77777777" w:rsidR="00EE4620" w:rsidRPr="00EE4620" w:rsidRDefault="00EE4620" w:rsidP="00EE4620">
      <w:pPr>
        <w:spacing w:after="0" w:line="240" w:lineRule="auto"/>
        <w:rPr>
          <w:rFonts w:ascii="Arial" w:eastAsia="Times New Roman" w:hAnsi="Arial" w:cs="Arial"/>
          <w:b/>
          <w:lang w:eastAsia="en-GB"/>
        </w:rPr>
      </w:pPr>
    </w:p>
    <w:p w14:paraId="18907BF5" w14:textId="77777777" w:rsidR="00EE4620" w:rsidRDefault="00EE4620" w:rsidP="00EE4620">
      <w:pPr>
        <w:spacing w:after="0" w:line="240" w:lineRule="auto"/>
        <w:rPr>
          <w:rFonts w:ascii="Arial" w:eastAsia="Times New Roman" w:hAnsi="Arial" w:cs="Arial"/>
          <w:b/>
          <w:lang w:eastAsia="en-GB"/>
        </w:rPr>
      </w:pPr>
      <w:r>
        <w:rPr>
          <w:rFonts w:ascii="Arial" w:eastAsia="Times New Roman" w:hAnsi="Arial" w:cs="Arial"/>
          <w:b/>
          <w:lang w:eastAsia="en-GB"/>
        </w:rPr>
        <w:br w:type="page"/>
      </w:r>
    </w:p>
    <w:p w14:paraId="18907BF6" w14:textId="77777777" w:rsidR="00EE4620" w:rsidRPr="00EE4620" w:rsidRDefault="00EE4620" w:rsidP="00EE4620">
      <w:pPr>
        <w:spacing w:after="0" w:line="240" w:lineRule="auto"/>
        <w:rPr>
          <w:rFonts w:ascii="Arial" w:eastAsia="Times New Roman" w:hAnsi="Arial" w:cs="Arial"/>
          <w:b/>
          <w:lang w:eastAsia="en-GB"/>
        </w:rPr>
      </w:pPr>
      <w:r w:rsidRPr="00EE4620">
        <w:rPr>
          <w:rFonts w:ascii="Arial" w:eastAsia="Times New Roman" w:hAnsi="Arial" w:cs="Arial"/>
          <w:b/>
          <w:lang w:eastAsia="en-GB"/>
        </w:rPr>
        <w:lastRenderedPageBreak/>
        <w:t>Table 16 - How do you generally find out about the work of the LGA?</w:t>
      </w:r>
    </w:p>
    <w:p w14:paraId="18907BF7" w14:textId="77777777" w:rsidR="00EE4620" w:rsidRPr="00EE4620" w:rsidRDefault="00EE4620" w:rsidP="00EE4620">
      <w:pPr>
        <w:spacing w:after="0" w:line="240" w:lineRule="auto"/>
        <w:rPr>
          <w:rFonts w:ascii="Arial" w:eastAsia="Times New Roman" w:hAnsi="Arial" w:cs="Arial"/>
          <w:sz w:val="24"/>
          <w:szCs w:val="24"/>
          <w:lang w:eastAsia="en-GB"/>
        </w:rPr>
      </w:pPr>
      <w:r w:rsidRPr="00EE4620">
        <w:rPr>
          <w:rFonts w:ascii="Arial" w:eastAsia="Times New Roman" w:hAnsi="Arial" w:cs="Times New Roman"/>
          <w:noProof/>
          <w:sz w:val="24"/>
          <w:szCs w:val="20"/>
          <w:lang w:eastAsia="en-GB"/>
        </w:rPr>
        <w:drawing>
          <wp:inline distT="0" distB="0" distL="0" distR="0" wp14:anchorId="18907D0A" wp14:editId="18907D0B">
            <wp:extent cx="5278120" cy="4913513"/>
            <wp:effectExtent l="0" t="0" r="0" b="1905"/>
            <wp:docPr id="14"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8907BF8" w14:textId="77777777" w:rsidR="00EE4620" w:rsidRPr="00EE4620" w:rsidRDefault="00EE4620" w:rsidP="00EE4620">
      <w:pPr>
        <w:spacing w:after="0" w:line="240" w:lineRule="auto"/>
        <w:rPr>
          <w:rFonts w:ascii="Arial" w:eastAsia="Times New Roman" w:hAnsi="Arial" w:cs="Arial"/>
          <w:sz w:val="24"/>
          <w:szCs w:val="24"/>
          <w:lang w:eastAsia="en-GB"/>
        </w:rPr>
      </w:pPr>
    </w:p>
    <w:p w14:paraId="18907BF9" w14:textId="77777777" w:rsidR="00EE4620" w:rsidRPr="00EE4620" w:rsidRDefault="00EE4620" w:rsidP="00EE4620">
      <w:pPr>
        <w:spacing w:after="0" w:line="240" w:lineRule="auto"/>
        <w:rPr>
          <w:rFonts w:ascii="Arial" w:eastAsia="Times New Roman" w:hAnsi="Arial" w:cs="Arial"/>
          <w:b/>
          <w:lang w:eastAsia="en-GB"/>
        </w:rPr>
      </w:pPr>
      <w:r w:rsidRPr="00EE4620">
        <w:rPr>
          <w:rFonts w:ascii="Arial" w:eastAsia="Times New Roman" w:hAnsi="Arial" w:cs="Arial"/>
          <w:b/>
          <w:lang w:eastAsia="en-GB"/>
        </w:rPr>
        <w:t xml:space="preserve">Preferred channels of communication </w:t>
      </w:r>
    </w:p>
    <w:p w14:paraId="18907BFA" w14:textId="77777777" w:rsidR="00EE4620" w:rsidRPr="00EE4620" w:rsidRDefault="00EE4620" w:rsidP="00EE4620">
      <w:pPr>
        <w:spacing w:after="0" w:line="240" w:lineRule="auto"/>
        <w:rPr>
          <w:rFonts w:ascii="Arial" w:eastAsia="Times New Roman" w:hAnsi="Arial" w:cs="Arial"/>
          <w:b/>
          <w:lang w:eastAsia="en-GB"/>
        </w:rPr>
      </w:pPr>
    </w:p>
    <w:p w14:paraId="18907BFB" w14:textId="411C2D56" w:rsidR="00EE4620" w:rsidRPr="00EE4620" w:rsidRDefault="00EE4620" w:rsidP="0086111C">
      <w:pPr>
        <w:numPr>
          <w:ilvl w:val="0"/>
          <w:numId w:val="3"/>
        </w:numPr>
        <w:spacing w:before="120" w:after="360" w:line="240" w:lineRule="auto"/>
        <w:ind w:left="567" w:hanging="567"/>
        <w:contextualSpacing/>
        <w:rPr>
          <w:rFonts w:ascii="Arial" w:eastAsia="Times New Roman" w:hAnsi="Arial" w:cs="Arial"/>
          <w:lang w:eastAsia="en-GB"/>
        </w:rPr>
      </w:pPr>
      <w:r w:rsidRPr="00EE4620">
        <w:rPr>
          <w:rFonts w:ascii="Arial" w:eastAsia="Times New Roman" w:hAnsi="Arial" w:cs="Arial"/>
          <w:b/>
          <w:lang w:eastAsia="en-GB"/>
        </w:rPr>
        <w:t>First magazine</w:t>
      </w:r>
      <w:r w:rsidRPr="00EE4620">
        <w:rPr>
          <w:rFonts w:ascii="Arial" w:eastAsia="Times New Roman" w:hAnsi="Arial" w:cs="Arial"/>
          <w:lang w:eastAsia="en-GB"/>
        </w:rPr>
        <w:t xml:space="preserve"> is the preferred channel (</w:t>
      </w:r>
      <w:r w:rsidRPr="00EE4620">
        <w:rPr>
          <w:rFonts w:ascii="Arial" w:eastAsia="Times New Roman" w:hAnsi="Arial" w:cs="Arial"/>
          <w:b/>
          <w:lang w:eastAsia="en-GB"/>
        </w:rPr>
        <w:t>21 per cent</w:t>
      </w:r>
      <w:r w:rsidRPr="00EE4620">
        <w:rPr>
          <w:rFonts w:ascii="Arial" w:eastAsia="Times New Roman" w:hAnsi="Arial" w:cs="Arial"/>
          <w:lang w:eastAsia="en-GB"/>
        </w:rPr>
        <w:t>), followed by the Chairman’s weekly bulletin (</w:t>
      </w:r>
      <w:r w:rsidRPr="00EE4620">
        <w:rPr>
          <w:rFonts w:ascii="Arial" w:eastAsia="Times New Roman" w:hAnsi="Arial" w:cs="Arial"/>
          <w:b/>
          <w:lang w:eastAsia="en-GB"/>
        </w:rPr>
        <w:t>19 per cent</w:t>
      </w:r>
      <w:r w:rsidRPr="00EE4620">
        <w:rPr>
          <w:rFonts w:ascii="Arial" w:eastAsia="Times New Roman" w:hAnsi="Arial" w:cs="Arial"/>
          <w:lang w:eastAsia="en-GB"/>
        </w:rPr>
        <w:t>) and the Chief Executive’s bulletin (</w:t>
      </w:r>
      <w:r w:rsidRPr="00EE4620">
        <w:rPr>
          <w:rFonts w:ascii="Arial" w:eastAsia="Times New Roman" w:hAnsi="Arial" w:cs="Arial"/>
          <w:b/>
          <w:lang w:eastAsia="en-GB"/>
        </w:rPr>
        <w:t>18 per cent</w:t>
      </w:r>
      <w:r w:rsidRPr="00EE4620">
        <w:rPr>
          <w:rFonts w:ascii="Arial" w:eastAsia="Times New Roman" w:hAnsi="Arial" w:cs="Arial"/>
          <w:lang w:eastAsia="en-GB"/>
        </w:rPr>
        <w:t>).</w:t>
      </w:r>
    </w:p>
    <w:p w14:paraId="18907BFC" w14:textId="77777777" w:rsidR="00EE4620" w:rsidRPr="00EE4620" w:rsidRDefault="00EE4620" w:rsidP="00EE4620">
      <w:pPr>
        <w:spacing w:after="0" w:line="240" w:lineRule="auto"/>
        <w:rPr>
          <w:rFonts w:ascii="Arial" w:eastAsia="Times New Roman" w:hAnsi="Arial" w:cs="Arial"/>
          <w:lang w:eastAsia="en-GB"/>
        </w:rPr>
      </w:pPr>
    </w:p>
    <w:p w14:paraId="18907BFD" w14:textId="3AF896E1" w:rsidR="00EE4620" w:rsidRPr="00EE4620" w:rsidRDefault="00EE4620" w:rsidP="0086111C">
      <w:pPr>
        <w:numPr>
          <w:ilvl w:val="0"/>
          <w:numId w:val="3"/>
        </w:numPr>
        <w:spacing w:before="120" w:after="360" w:line="240" w:lineRule="auto"/>
        <w:ind w:left="567" w:hanging="567"/>
        <w:contextualSpacing/>
        <w:rPr>
          <w:rFonts w:ascii="Arial" w:eastAsia="Times New Roman" w:hAnsi="Arial" w:cs="Arial"/>
          <w:szCs w:val="20"/>
          <w:lang w:eastAsia="en-GB"/>
        </w:rPr>
      </w:pPr>
      <w:r w:rsidRPr="00EE4620">
        <w:rPr>
          <w:rFonts w:ascii="Arial" w:eastAsia="Times New Roman" w:hAnsi="Arial" w:cs="Arial"/>
          <w:szCs w:val="20"/>
          <w:lang w:eastAsia="en-GB"/>
        </w:rPr>
        <w:t xml:space="preserve">For </w:t>
      </w:r>
      <w:r w:rsidRPr="00EE4620">
        <w:rPr>
          <w:rFonts w:ascii="Arial" w:eastAsia="Times New Roman" w:hAnsi="Arial" w:cs="Arial"/>
          <w:b/>
          <w:szCs w:val="20"/>
          <w:lang w:eastAsia="en-GB"/>
        </w:rPr>
        <w:t xml:space="preserve">frontbench councillors </w:t>
      </w:r>
      <w:r w:rsidRPr="00EE4620">
        <w:rPr>
          <w:rFonts w:ascii="Arial" w:eastAsia="Times New Roman" w:hAnsi="Arial" w:cs="Arial"/>
          <w:szCs w:val="20"/>
          <w:lang w:eastAsia="en-GB"/>
        </w:rPr>
        <w:t>(</w:t>
      </w:r>
      <w:r w:rsidRPr="00EE4620">
        <w:rPr>
          <w:rFonts w:ascii="Arial" w:eastAsia="Times New Roman" w:hAnsi="Arial" w:cs="Arial"/>
          <w:b/>
          <w:szCs w:val="20"/>
          <w:lang w:eastAsia="en-GB"/>
        </w:rPr>
        <w:t>22 per cent</w:t>
      </w:r>
      <w:r w:rsidRPr="00EE4620">
        <w:rPr>
          <w:rFonts w:ascii="Arial" w:eastAsia="Times New Roman" w:hAnsi="Arial" w:cs="Arial"/>
          <w:szCs w:val="20"/>
          <w:lang w:eastAsia="en-GB"/>
        </w:rPr>
        <w:t xml:space="preserve">) and </w:t>
      </w:r>
      <w:r w:rsidRPr="00EE4620">
        <w:rPr>
          <w:rFonts w:ascii="Arial" w:eastAsia="Times New Roman" w:hAnsi="Arial" w:cs="Arial"/>
          <w:b/>
          <w:szCs w:val="20"/>
          <w:lang w:eastAsia="en-GB"/>
        </w:rPr>
        <w:t>backbench councillors</w:t>
      </w:r>
      <w:r w:rsidRPr="00EE4620">
        <w:rPr>
          <w:rFonts w:ascii="Arial" w:eastAsia="Times New Roman" w:hAnsi="Arial" w:cs="Arial"/>
          <w:szCs w:val="20"/>
          <w:lang w:eastAsia="en-GB"/>
        </w:rPr>
        <w:t xml:space="preserve"> (</w:t>
      </w:r>
      <w:r w:rsidRPr="00EE4620">
        <w:rPr>
          <w:rFonts w:ascii="Arial" w:eastAsia="Times New Roman" w:hAnsi="Arial" w:cs="Arial"/>
          <w:b/>
          <w:szCs w:val="20"/>
          <w:lang w:eastAsia="en-GB"/>
        </w:rPr>
        <w:t>39 per cent</w:t>
      </w:r>
      <w:r w:rsidRPr="00EE4620">
        <w:rPr>
          <w:rFonts w:ascii="Arial" w:eastAsia="Times New Roman" w:hAnsi="Arial" w:cs="Arial"/>
          <w:szCs w:val="20"/>
          <w:lang w:eastAsia="en-GB"/>
        </w:rPr>
        <w:t>) First magazine is most frequently mentioned as their preferred source of information), followed by the Chairman’s weekly bulletin (</w:t>
      </w:r>
      <w:r w:rsidRPr="00EE4620">
        <w:rPr>
          <w:rFonts w:ascii="Arial" w:eastAsia="Times New Roman" w:hAnsi="Arial" w:cs="Arial"/>
          <w:b/>
          <w:szCs w:val="20"/>
          <w:lang w:eastAsia="en-GB"/>
        </w:rPr>
        <w:t>21 per cent</w:t>
      </w:r>
      <w:r w:rsidRPr="00EE4620">
        <w:rPr>
          <w:rFonts w:ascii="Arial" w:eastAsia="Times New Roman" w:hAnsi="Arial" w:cs="Arial"/>
          <w:szCs w:val="20"/>
          <w:lang w:eastAsia="en-GB"/>
        </w:rPr>
        <w:t>) and the Chief Executive’s bulletin (</w:t>
      </w:r>
      <w:r w:rsidRPr="00EE4620">
        <w:rPr>
          <w:rFonts w:ascii="Arial" w:eastAsia="Times New Roman" w:hAnsi="Arial" w:cs="Arial"/>
          <w:b/>
          <w:szCs w:val="20"/>
          <w:lang w:eastAsia="en-GB"/>
        </w:rPr>
        <w:t>19 per cent</w:t>
      </w:r>
      <w:r w:rsidRPr="00EE4620">
        <w:rPr>
          <w:rFonts w:ascii="Arial" w:eastAsia="Times New Roman" w:hAnsi="Arial" w:cs="Arial"/>
          <w:szCs w:val="20"/>
          <w:lang w:eastAsia="en-GB"/>
        </w:rPr>
        <w:t>).</w:t>
      </w:r>
    </w:p>
    <w:p w14:paraId="18907BFE" w14:textId="77777777" w:rsidR="00EE4620" w:rsidRPr="00EE4620" w:rsidRDefault="00EE4620" w:rsidP="00EE4620">
      <w:pPr>
        <w:spacing w:after="0" w:line="240" w:lineRule="auto"/>
        <w:rPr>
          <w:rFonts w:ascii="Arial" w:eastAsia="Times New Roman" w:hAnsi="Arial" w:cs="Arial"/>
          <w:szCs w:val="20"/>
          <w:lang w:eastAsia="en-GB"/>
        </w:rPr>
      </w:pPr>
    </w:p>
    <w:p w14:paraId="18907BFF" w14:textId="530EAE48" w:rsidR="00EE4620" w:rsidRPr="00EE4620" w:rsidRDefault="00EE4620" w:rsidP="0086111C">
      <w:pPr>
        <w:numPr>
          <w:ilvl w:val="0"/>
          <w:numId w:val="3"/>
        </w:numPr>
        <w:spacing w:before="120" w:after="360" w:line="240" w:lineRule="auto"/>
        <w:ind w:left="567" w:hanging="567"/>
        <w:contextualSpacing/>
        <w:rPr>
          <w:rFonts w:ascii="Arial" w:eastAsia="Times New Roman" w:hAnsi="Arial" w:cs="Arial"/>
          <w:szCs w:val="20"/>
          <w:lang w:eastAsia="en-GB"/>
        </w:rPr>
      </w:pPr>
      <w:r w:rsidRPr="00EE4620">
        <w:rPr>
          <w:rFonts w:ascii="Arial" w:eastAsia="Times New Roman" w:hAnsi="Arial" w:cs="Arial"/>
          <w:b/>
          <w:szCs w:val="20"/>
          <w:lang w:eastAsia="en-GB"/>
        </w:rPr>
        <w:t>Officers</w:t>
      </w:r>
      <w:r w:rsidRPr="00EE4620">
        <w:rPr>
          <w:rFonts w:ascii="Arial" w:eastAsia="Times New Roman" w:hAnsi="Arial" w:cs="Arial"/>
          <w:szCs w:val="20"/>
          <w:lang w:eastAsia="en-GB"/>
        </w:rPr>
        <w:t xml:space="preserve"> prefer to find out about our work through e-bulletins (</w:t>
      </w:r>
      <w:r w:rsidRPr="00EE4620">
        <w:rPr>
          <w:rFonts w:ascii="Arial" w:eastAsia="Times New Roman" w:hAnsi="Arial" w:cs="Arial"/>
          <w:b/>
          <w:szCs w:val="20"/>
          <w:lang w:eastAsia="en-GB"/>
        </w:rPr>
        <w:t>15 per cent</w:t>
      </w:r>
      <w:r w:rsidRPr="00EE4620">
        <w:rPr>
          <w:rFonts w:ascii="Arial" w:eastAsia="Times New Roman" w:hAnsi="Arial" w:cs="Arial"/>
          <w:szCs w:val="20"/>
          <w:lang w:eastAsia="en-GB"/>
        </w:rPr>
        <w:t>) and cite the Chief Executive’s bulletin as the preferred method of finding out about our work (</w:t>
      </w:r>
      <w:r w:rsidRPr="00EE4620">
        <w:rPr>
          <w:rFonts w:ascii="Arial" w:eastAsia="Times New Roman" w:hAnsi="Arial" w:cs="Arial"/>
          <w:b/>
          <w:szCs w:val="20"/>
          <w:lang w:eastAsia="en-GB"/>
        </w:rPr>
        <w:t>22 per cent</w:t>
      </w:r>
      <w:r w:rsidRPr="00EE4620">
        <w:rPr>
          <w:rFonts w:ascii="Arial" w:eastAsia="Times New Roman" w:hAnsi="Arial" w:cs="Arial"/>
          <w:szCs w:val="20"/>
          <w:lang w:eastAsia="en-GB"/>
        </w:rPr>
        <w:t>).  Our website is also popular with officers (</w:t>
      </w:r>
      <w:r w:rsidRPr="00EE4620">
        <w:rPr>
          <w:rFonts w:ascii="Arial" w:eastAsia="Times New Roman" w:hAnsi="Arial" w:cs="Arial"/>
          <w:b/>
          <w:szCs w:val="20"/>
          <w:lang w:eastAsia="en-GB"/>
        </w:rPr>
        <w:t>14 per cent</w:t>
      </w:r>
      <w:r w:rsidRPr="00EE4620">
        <w:rPr>
          <w:rFonts w:ascii="Arial" w:eastAsia="Times New Roman" w:hAnsi="Arial" w:cs="Arial"/>
          <w:szCs w:val="20"/>
          <w:lang w:eastAsia="en-GB"/>
        </w:rPr>
        <w:t>).</w:t>
      </w:r>
    </w:p>
    <w:p w14:paraId="18907C00" w14:textId="77777777" w:rsidR="00EE4620" w:rsidRPr="00EE4620" w:rsidRDefault="00EE4620" w:rsidP="00EE4620">
      <w:pPr>
        <w:spacing w:after="0" w:line="240" w:lineRule="auto"/>
        <w:rPr>
          <w:rFonts w:ascii="Arial" w:eastAsia="Times New Roman" w:hAnsi="Arial" w:cs="Arial"/>
          <w:szCs w:val="20"/>
          <w:lang w:eastAsia="en-GB"/>
        </w:rPr>
      </w:pPr>
    </w:p>
    <w:p w14:paraId="18907C01" w14:textId="77777777" w:rsidR="00EE4620" w:rsidRPr="00EE4620" w:rsidRDefault="00EE4620" w:rsidP="00EE4620">
      <w:pPr>
        <w:spacing w:after="0" w:line="240" w:lineRule="auto"/>
        <w:rPr>
          <w:rFonts w:ascii="Arial" w:eastAsia="Times New Roman" w:hAnsi="Arial" w:cs="Arial"/>
          <w:b/>
          <w:lang w:eastAsia="en-GB"/>
        </w:rPr>
      </w:pPr>
      <w:r w:rsidRPr="00EE4620">
        <w:rPr>
          <w:rFonts w:ascii="Arial" w:eastAsia="Times New Roman" w:hAnsi="Arial" w:cs="Arial"/>
          <w:b/>
          <w:lang w:eastAsia="en-GB"/>
        </w:rPr>
        <w:br w:type="page"/>
      </w:r>
    </w:p>
    <w:p w14:paraId="18907C02" w14:textId="77777777" w:rsidR="00EE4620" w:rsidRPr="00EE4620" w:rsidRDefault="00EE4620" w:rsidP="00EE4620">
      <w:pPr>
        <w:spacing w:after="0" w:line="240" w:lineRule="auto"/>
        <w:rPr>
          <w:rFonts w:ascii="Arial" w:eastAsia="Times New Roman" w:hAnsi="Arial" w:cs="Arial"/>
          <w:b/>
          <w:lang w:eastAsia="en-GB"/>
        </w:rPr>
      </w:pPr>
      <w:r w:rsidRPr="00EE4620">
        <w:rPr>
          <w:rFonts w:ascii="Arial" w:eastAsia="Times New Roman" w:hAnsi="Arial" w:cs="Arial"/>
          <w:b/>
          <w:lang w:eastAsia="en-GB"/>
        </w:rPr>
        <w:lastRenderedPageBreak/>
        <w:t>Table 17 – How would you prefer to find out about the work of the LGA?</w:t>
      </w:r>
    </w:p>
    <w:p w14:paraId="18907C03" w14:textId="77777777" w:rsidR="00EE4620" w:rsidRPr="00EE4620" w:rsidRDefault="00EE4620" w:rsidP="00EE4620">
      <w:pPr>
        <w:spacing w:after="0" w:line="240" w:lineRule="auto"/>
        <w:rPr>
          <w:rFonts w:ascii="Arial" w:eastAsia="Times New Roman" w:hAnsi="Arial" w:cs="Arial"/>
          <w:b/>
          <w:sz w:val="24"/>
          <w:szCs w:val="24"/>
          <w:lang w:eastAsia="en-GB"/>
        </w:rPr>
      </w:pPr>
      <w:r w:rsidRPr="00EE4620">
        <w:rPr>
          <w:rFonts w:ascii="Arial" w:eastAsia="Times New Roman" w:hAnsi="Arial" w:cs="Times New Roman"/>
          <w:noProof/>
          <w:sz w:val="24"/>
          <w:szCs w:val="20"/>
          <w:lang w:eastAsia="en-GB"/>
        </w:rPr>
        <w:drawing>
          <wp:inline distT="0" distB="0" distL="0" distR="0" wp14:anchorId="18907D0C" wp14:editId="18907D0D">
            <wp:extent cx="5278120" cy="4711134"/>
            <wp:effectExtent l="0" t="0" r="0" b="0"/>
            <wp:docPr id="15"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8907C04" w14:textId="77777777" w:rsidR="00EE4620" w:rsidRPr="00EE4620" w:rsidRDefault="00EE4620" w:rsidP="00EE4620">
      <w:pPr>
        <w:spacing w:after="0" w:line="240" w:lineRule="auto"/>
        <w:rPr>
          <w:rFonts w:ascii="Arial" w:eastAsia="Times New Roman" w:hAnsi="Arial" w:cs="Arial"/>
          <w:b/>
          <w:sz w:val="24"/>
          <w:szCs w:val="24"/>
          <w:lang w:eastAsia="en-GB"/>
        </w:rPr>
      </w:pPr>
    </w:p>
    <w:p w14:paraId="18907C05" w14:textId="77777777" w:rsidR="00EE4620" w:rsidRPr="00EE4620" w:rsidRDefault="00EE4620" w:rsidP="00EE4620">
      <w:pPr>
        <w:spacing w:after="0" w:line="240" w:lineRule="auto"/>
        <w:rPr>
          <w:rFonts w:ascii="Arial" w:eastAsia="Times New Roman" w:hAnsi="Arial" w:cs="Arial"/>
          <w:b/>
          <w:lang w:eastAsia="en-GB"/>
        </w:rPr>
      </w:pPr>
      <w:r w:rsidRPr="00EE4620">
        <w:rPr>
          <w:rFonts w:ascii="Arial" w:eastAsia="Times New Roman" w:hAnsi="Arial" w:cs="Arial"/>
          <w:b/>
          <w:lang w:eastAsia="en-GB"/>
        </w:rPr>
        <w:t>Awareness of the LGA’s Rewiring Public Services campaign</w:t>
      </w:r>
    </w:p>
    <w:p w14:paraId="18907C06" w14:textId="77777777" w:rsidR="00EE4620" w:rsidRPr="00EE4620" w:rsidRDefault="00EE4620" w:rsidP="00EE4620">
      <w:pPr>
        <w:spacing w:after="0" w:line="240" w:lineRule="auto"/>
        <w:rPr>
          <w:rFonts w:ascii="Arial" w:eastAsia="Times New Roman" w:hAnsi="Arial" w:cs="Arial"/>
          <w:lang w:eastAsia="en-GB"/>
        </w:rPr>
      </w:pPr>
    </w:p>
    <w:p w14:paraId="18907C07" w14:textId="67207FBB" w:rsidR="00EE4620" w:rsidRPr="00EE4620" w:rsidRDefault="00EE4620" w:rsidP="008D4EB3">
      <w:pPr>
        <w:numPr>
          <w:ilvl w:val="0"/>
          <w:numId w:val="3"/>
        </w:numPr>
        <w:spacing w:before="120" w:after="360" w:line="240" w:lineRule="auto"/>
        <w:ind w:left="567" w:hanging="567"/>
        <w:contextualSpacing/>
        <w:rPr>
          <w:rFonts w:ascii="Arial" w:eastAsia="Times New Roman" w:hAnsi="Arial" w:cs="Arial"/>
          <w:lang w:eastAsia="en-GB"/>
        </w:rPr>
      </w:pPr>
      <w:r w:rsidRPr="00EE4620">
        <w:rPr>
          <w:rFonts w:ascii="Arial" w:eastAsia="Times New Roman" w:hAnsi="Arial" w:cs="Arial"/>
          <w:lang w:eastAsia="en-GB"/>
        </w:rPr>
        <w:t>More than three-quarters of respondents (</w:t>
      </w:r>
      <w:r w:rsidRPr="00EE4620">
        <w:rPr>
          <w:rFonts w:ascii="Arial" w:eastAsia="Times New Roman" w:hAnsi="Arial" w:cs="Arial"/>
          <w:b/>
          <w:lang w:eastAsia="en-GB"/>
        </w:rPr>
        <w:t>78 per cent</w:t>
      </w:r>
      <w:r w:rsidRPr="00EE4620">
        <w:rPr>
          <w:rFonts w:ascii="Arial" w:eastAsia="Times New Roman" w:hAnsi="Arial" w:cs="Arial"/>
          <w:lang w:eastAsia="en-GB"/>
        </w:rPr>
        <w:t xml:space="preserve">) have heard of the Rewiring Public Services campaign.  </w:t>
      </w:r>
    </w:p>
    <w:p w14:paraId="18907C08" w14:textId="77777777" w:rsidR="00EE4620" w:rsidRPr="00EE4620" w:rsidRDefault="00EE4620" w:rsidP="00EE4620">
      <w:pPr>
        <w:spacing w:after="0" w:line="240" w:lineRule="auto"/>
        <w:rPr>
          <w:rFonts w:ascii="Arial" w:eastAsia="Times New Roman" w:hAnsi="Arial" w:cs="Arial"/>
          <w:lang w:eastAsia="en-GB"/>
        </w:rPr>
      </w:pPr>
      <w:r w:rsidRPr="00EE4620">
        <w:rPr>
          <w:rFonts w:ascii="Arial" w:eastAsia="Times New Roman" w:hAnsi="Arial" w:cs="Arial"/>
          <w:lang w:eastAsia="en-GB"/>
        </w:rPr>
        <w:t xml:space="preserve"> </w:t>
      </w:r>
    </w:p>
    <w:p w14:paraId="18907C09" w14:textId="75864471" w:rsidR="00EE4620" w:rsidRPr="00EE4620" w:rsidRDefault="00EE4620" w:rsidP="008D4EB3">
      <w:pPr>
        <w:numPr>
          <w:ilvl w:val="0"/>
          <w:numId w:val="3"/>
        </w:numPr>
        <w:spacing w:before="120" w:after="360" w:line="240" w:lineRule="auto"/>
        <w:ind w:left="567" w:hanging="567"/>
        <w:contextualSpacing/>
        <w:rPr>
          <w:rFonts w:ascii="Arial" w:eastAsia="Times New Roman" w:hAnsi="Arial" w:cs="Arial"/>
          <w:szCs w:val="20"/>
          <w:lang w:eastAsia="en-GB"/>
        </w:rPr>
      </w:pPr>
      <w:r w:rsidRPr="00EE4620">
        <w:rPr>
          <w:rFonts w:ascii="Arial" w:eastAsia="Times New Roman" w:hAnsi="Arial" w:cs="Arial"/>
          <w:lang w:eastAsia="en-GB"/>
        </w:rPr>
        <w:t xml:space="preserve">Respondents in </w:t>
      </w:r>
      <w:r w:rsidRPr="00EE4620">
        <w:rPr>
          <w:rFonts w:ascii="Arial" w:eastAsia="Times New Roman" w:hAnsi="Arial" w:cs="Arial"/>
          <w:b/>
          <w:lang w:eastAsia="en-GB"/>
        </w:rPr>
        <w:t xml:space="preserve">London </w:t>
      </w:r>
      <w:r w:rsidRPr="00EE4620">
        <w:rPr>
          <w:rFonts w:ascii="Arial" w:eastAsia="Times New Roman" w:hAnsi="Arial" w:cs="Arial"/>
          <w:lang w:eastAsia="en-GB"/>
        </w:rPr>
        <w:t xml:space="preserve">and the </w:t>
      </w:r>
      <w:r w:rsidRPr="00EE4620">
        <w:rPr>
          <w:rFonts w:ascii="Arial" w:eastAsia="Times New Roman" w:hAnsi="Arial" w:cs="Arial"/>
          <w:b/>
          <w:lang w:eastAsia="en-GB"/>
        </w:rPr>
        <w:t>South East</w:t>
      </w:r>
      <w:r w:rsidRPr="00EE4620">
        <w:rPr>
          <w:rFonts w:ascii="Arial" w:eastAsia="Times New Roman" w:hAnsi="Arial" w:cs="Arial"/>
          <w:lang w:eastAsia="en-GB"/>
        </w:rPr>
        <w:t xml:space="preserve"> are most likely to be unaware of the campaign (</w:t>
      </w:r>
      <w:r w:rsidRPr="00EE4620">
        <w:rPr>
          <w:rFonts w:ascii="Arial" w:eastAsia="Times New Roman" w:hAnsi="Arial" w:cs="Arial"/>
          <w:b/>
          <w:lang w:eastAsia="en-GB"/>
        </w:rPr>
        <w:t>31 per cent and 29 per cent</w:t>
      </w:r>
      <w:r w:rsidRPr="00EE4620">
        <w:rPr>
          <w:rFonts w:ascii="Arial" w:eastAsia="Times New Roman" w:hAnsi="Arial" w:cs="Arial"/>
          <w:lang w:eastAsia="en-GB"/>
        </w:rPr>
        <w:t xml:space="preserve"> respectively).</w:t>
      </w:r>
    </w:p>
    <w:p w14:paraId="18907C0A" w14:textId="77777777" w:rsidR="00EE4620" w:rsidRPr="00EE4620" w:rsidRDefault="00EE4620" w:rsidP="00EE4620">
      <w:pPr>
        <w:spacing w:after="0" w:line="240" w:lineRule="auto"/>
        <w:rPr>
          <w:rFonts w:ascii="Arial" w:eastAsia="Times New Roman" w:hAnsi="Arial" w:cs="Arial"/>
          <w:szCs w:val="20"/>
          <w:lang w:eastAsia="en-GB"/>
        </w:rPr>
      </w:pPr>
    </w:p>
    <w:p w14:paraId="18907C0B" w14:textId="7F49F853" w:rsidR="00EE4620" w:rsidRPr="00EE4620" w:rsidRDefault="00EE4620" w:rsidP="009B2A11">
      <w:pPr>
        <w:numPr>
          <w:ilvl w:val="0"/>
          <w:numId w:val="3"/>
        </w:numPr>
        <w:spacing w:before="120" w:after="360" w:line="240" w:lineRule="auto"/>
        <w:ind w:left="567" w:hanging="567"/>
        <w:contextualSpacing/>
        <w:rPr>
          <w:rFonts w:ascii="Arial" w:eastAsia="Times New Roman" w:hAnsi="Arial" w:cs="Arial"/>
          <w:szCs w:val="20"/>
          <w:lang w:eastAsia="en-GB"/>
        </w:rPr>
      </w:pPr>
      <w:r w:rsidRPr="00EE4620">
        <w:rPr>
          <w:rFonts w:ascii="Arial" w:eastAsia="Times New Roman" w:hAnsi="Arial" w:cs="Arial"/>
          <w:lang w:eastAsia="en-GB"/>
        </w:rPr>
        <w:t xml:space="preserve">Awareness is highest in the </w:t>
      </w:r>
      <w:r w:rsidRPr="00EE4620">
        <w:rPr>
          <w:rFonts w:ascii="Arial" w:eastAsia="Times New Roman" w:hAnsi="Arial" w:cs="Arial"/>
          <w:b/>
          <w:lang w:eastAsia="en-GB"/>
        </w:rPr>
        <w:t>South West</w:t>
      </w:r>
      <w:r w:rsidRPr="00EE4620">
        <w:rPr>
          <w:rFonts w:ascii="Arial" w:eastAsia="Times New Roman" w:hAnsi="Arial" w:cs="Arial"/>
          <w:lang w:eastAsia="en-GB"/>
        </w:rPr>
        <w:t xml:space="preserve"> (</w:t>
      </w:r>
      <w:r w:rsidRPr="00EE4620">
        <w:rPr>
          <w:rFonts w:ascii="Arial" w:eastAsia="Times New Roman" w:hAnsi="Arial" w:cs="Arial"/>
          <w:b/>
          <w:lang w:eastAsia="en-GB"/>
        </w:rPr>
        <w:t>83 per cent</w:t>
      </w:r>
      <w:r w:rsidRPr="00EE4620">
        <w:rPr>
          <w:rFonts w:ascii="Arial" w:eastAsia="Times New Roman" w:hAnsi="Arial" w:cs="Arial"/>
          <w:lang w:eastAsia="en-GB"/>
        </w:rPr>
        <w:t xml:space="preserve">), the </w:t>
      </w:r>
      <w:r w:rsidRPr="00EE4620">
        <w:rPr>
          <w:rFonts w:ascii="Arial" w:eastAsia="Times New Roman" w:hAnsi="Arial" w:cs="Arial"/>
          <w:b/>
          <w:lang w:eastAsia="en-GB"/>
        </w:rPr>
        <w:t xml:space="preserve">East Midlands </w:t>
      </w:r>
      <w:r w:rsidRPr="00EE4620">
        <w:rPr>
          <w:rFonts w:ascii="Arial" w:eastAsia="Times New Roman" w:hAnsi="Arial" w:cs="Arial"/>
          <w:lang w:eastAsia="en-GB"/>
        </w:rPr>
        <w:t>(</w:t>
      </w:r>
      <w:r w:rsidRPr="00EE4620">
        <w:rPr>
          <w:rFonts w:ascii="Arial" w:eastAsia="Times New Roman" w:hAnsi="Arial" w:cs="Arial"/>
          <w:b/>
          <w:lang w:eastAsia="en-GB"/>
        </w:rPr>
        <w:t>85 per cent</w:t>
      </w:r>
      <w:r w:rsidRPr="00EE4620">
        <w:rPr>
          <w:rFonts w:ascii="Arial" w:eastAsia="Times New Roman" w:hAnsi="Arial" w:cs="Arial"/>
          <w:lang w:eastAsia="en-GB"/>
        </w:rPr>
        <w:t xml:space="preserve">) and </w:t>
      </w:r>
      <w:r w:rsidRPr="00EE4620">
        <w:rPr>
          <w:rFonts w:ascii="Arial" w:eastAsia="Times New Roman" w:hAnsi="Arial" w:cs="Arial"/>
          <w:b/>
          <w:lang w:eastAsia="en-GB"/>
        </w:rPr>
        <w:t>Yorkshire and the Humber</w:t>
      </w:r>
      <w:r w:rsidRPr="00EE4620">
        <w:rPr>
          <w:rFonts w:ascii="Arial" w:eastAsia="Times New Roman" w:hAnsi="Arial" w:cs="Arial"/>
          <w:lang w:eastAsia="en-GB"/>
        </w:rPr>
        <w:t xml:space="preserve"> (</w:t>
      </w:r>
      <w:r w:rsidRPr="00EE4620">
        <w:rPr>
          <w:rFonts w:ascii="Arial" w:eastAsia="Times New Roman" w:hAnsi="Arial" w:cs="Arial"/>
          <w:b/>
          <w:lang w:eastAsia="en-GB"/>
        </w:rPr>
        <w:t>83 per cent</w:t>
      </w:r>
      <w:r w:rsidRPr="00EE4620">
        <w:rPr>
          <w:rFonts w:ascii="Arial" w:eastAsia="Times New Roman" w:hAnsi="Arial" w:cs="Arial"/>
          <w:lang w:eastAsia="en-GB"/>
        </w:rPr>
        <w:t>).</w:t>
      </w:r>
    </w:p>
    <w:p w14:paraId="18907C0C" w14:textId="77777777" w:rsidR="00EE4620" w:rsidRPr="00EE4620" w:rsidRDefault="00EE4620" w:rsidP="00EE4620">
      <w:pPr>
        <w:spacing w:after="0" w:line="240" w:lineRule="auto"/>
        <w:rPr>
          <w:rFonts w:ascii="Arial" w:eastAsia="Times New Roman" w:hAnsi="Arial" w:cs="Arial"/>
          <w:szCs w:val="20"/>
          <w:lang w:eastAsia="en-GB"/>
        </w:rPr>
      </w:pPr>
    </w:p>
    <w:p w14:paraId="18907C0D" w14:textId="37156335" w:rsidR="00EE4620" w:rsidRPr="00EE4620" w:rsidRDefault="00EE4620" w:rsidP="009B2A11">
      <w:pPr>
        <w:numPr>
          <w:ilvl w:val="0"/>
          <w:numId w:val="3"/>
        </w:numPr>
        <w:spacing w:before="120" w:after="360" w:line="240" w:lineRule="auto"/>
        <w:ind w:left="567" w:hanging="567"/>
        <w:contextualSpacing/>
        <w:rPr>
          <w:rFonts w:ascii="Arial" w:eastAsia="Times New Roman" w:hAnsi="Arial" w:cs="Arial"/>
          <w:szCs w:val="20"/>
          <w:lang w:eastAsia="en-GB"/>
        </w:rPr>
      </w:pPr>
      <w:r w:rsidRPr="00EE4620">
        <w:rPr>
          <w:rFonts w:ascii="Arial" w:eastAsia="Times New Roman" w:hAnsi="Arial" w:cs="Arial"/>
          <w:b/>
          <w:lang w:eastAsia="en-GB"/>
        </w:rPr>
        <w:t>Leaders</w:t>
      </w:r>
      <w:r w:rsidRPr="00EE4620">
        <w:rPr>
          <w:rFonts w:ascii="Arial" w:eastAsia="Times New Roman" w:hAnsi="Arial" w:cs="Arial"/>
          <w:lang w:eastAsia="en-GB"/>
        </w:rPr>
        <w:t xml:space="preserve"> and </w:t>
      </w:r>
      <w:r w:rsidRPr="00EE4620">
        <w:rPr>
          <w:rFonts w:ascii="Arial" w:eastAsia="Times New Roman" w:hAnsi="Arial" w:cs="Arial"/>
          <w:b/>
          <w:lang w:eastAsia="en-GB"/>
        </w:rPr>
        <w:t xml:space="preserve">chief executives </w:t>
      </w:r>
      <w:r w:rsidRPr="00EE4620">
        <w:rPr>
          <w:rFonts w:ascii="Arial" w:eastAsia="Times New Roman" w:hAnsi="Arial" w:cs="Arial"/>
          <w:lang w:eastAsia="en-GB"/>
        </w:rPr>
        <w:t xml:space="preserve">are more likely know ‘a great deal about the </w:t>
      </w:r>
      <w:r w:rsidRPr="00EE4620">
        <w:rPr>
          <w:rFonts w:ascii="Arial" w:eastAsia="Times New Roman" w:hAnsi="Arial" w:cs="Arial"/>
          <w:lang w:eastAsia="en-GB"/>
        </w:rPr>
        <w:tab/>
        <w:t>campaign’ (</w:t>
      </w:r>
      <w:r w:rsidRPr="00EE4620">
        <w:rPr>
          <w:rFonts w:ascii="Arial" w:eastAsia="Times New Roman" w:hAnsi="Arial" w:cs="Arial"/>
          <w:b/>
          <w:lang w:eastAsia="en-GB"/>
        </w:rPr>
        <w:t>26 per cent and 31 per cent</w:t>
      </w:r>
      <w:r w:rsidRPr="00EE4620">
        <w:rPr>
          <w:rFonts w:ascii="Arial" w:eastAsia="Times New Roman" w:hAnsi="Arial" w:cs="Arial"/>
          <w:lang w:eastAsia="en-GB"/>
        </w:rPr>
        <w:t>) compared to other roles.</w:t>
      </w:r>
    </w:p>
    <w:p w14:paraId="18907C0E" w14:textId="77777777" w:rsidR="00EE4620" w:rsidRPr="00EE4620" w:rsidRDefault="00EE4620" w:rsidP="00EE4620">
      <w:pPr>
        <w:spacing w:after="0" w:line="240" w:lineRule="auto"/>
        <w:rPr>
          <w:rFonts w:ascii="Arial" w:eastAsia="Times New Roman" w:hAnsi="Arial" w:cs="Arial"/>
          <w:b/>
          <w:szCs w:val="20"/>
          <w:lang w:eastAsia="en-GB"/>
        </w:rPr>
      </w:pPr>
    </w:p>
    <w:p w14:paraId="18907C0F" w14:textId="420A29AA" w:rsidR="00EE4620" w:rsidRPr="00EE4620" w:rsidRDefault="00EE4620" w:rsidP="009B2A11">
      <w:pPr>
        <w:numPr>
          <w:ilvl w:val="0"/>
          <w:numId w:val="3"/>
        </w:numPr>
        <w:spacing w:before="120" w:after="360" w:line="240" w:lineRule="auto"/>
        <w:ind w:left="567" w:hanging="567"/>
        <w:contextualSpacing/>
        <w:rPr>
          <w:rFonts w:ascii="Arial" w:eastAsia="Times New Roman" w:hAnsi="Arial" w:cs="Arial"/>
          <w:szCs w:val="20"/>
          <w:lang w:eastAsia="en-GB"/>
        </w:rPr>
      </w:pPr>
      <w:r w:rsidRPr="00EE4620">
        <w:rPr>
          <w:rFonts w:ascii="Arial" w:eastAsia="Times New Roman" w:hAnsi="Arial" w:cs="Arial"/>
          <w:b/>
          <w:lang w:eastAsia="en-GB"/>
        </w:rPr>
        <w:t>Frontbench councillors</w:t>
      </w:r>
      <w:r w:rsidRPr="00EE4620">
        <w:rPr>
          <w:rFonts w:ascii="Arial" w:eastAsia="Times New Roman" w:hAnsi="Arial" w:cs="Arial"/>
          <w:lang w:eastAsia="en-GB"/>
        </w:rPr>
        <w:t xml:space="preserve"> and </w:t>
      </w:r>
      <w:r w:rsidRPr="00EE4620">
        <w:rPr>
          <w:rFonts w:ascii="Arial" w:eastAsia="Times New Roman" w:hAnsi="Arial" w:cs="Arial"/>
          <w:b/>
          <w:lang w:eastAsia="en-GB"/>
        </w:rPr>
        <w:t>officers</w:t>
      </w:r>
      <w:r w:rsidRPr="00EE4620">
        <w:rPr>
          <w:rFonts w:ascii="Arial" w:eastAsia="Times New Roman" w:hAnsi="Arial" w:cs="Arial"/>
          <w:lang w:eastAsia="en-GB"/>
        </w:rPr>
        <w:t xml:space="preserve"> are significantly more likely than </w:t>
      </w:r>
      <w:r w:rsidRPr="00EE4620">
        <w:rPr>
          <w:rFonts w:ascii="Arial" w:eastAsia="Times New Roman" w:hAnsi="Arial" w:cs="Arial"/>
          <w:b/>
          <w:lang w:eastAsia="en-GB"/>
        </w:rPr>
        <w:t>backbench councillors</w:t>
      </w:r>
      <w:r w:rsidRPr="00EE4620">
        <w:rPr>
          <w:rFonts w:ascii="Arial" w:eastAsia="Times New Roman" w:hAnsi="Arial" w:cs="Arial"/>
          <w:lang w:eastAsia="en-GB"/>
        </w:rPr>
        <w:t xml:space="preserve"> to know at least a fair amount about the campaign (</w:t>
      </w:r>
      <w:r w:rsidRPr="00EE4620">
        <w:rPr>
          <w:rFonts w:ascii="Arial" w:eastAsia="Times New Roman" w:hAnsi="Arial" w:cs="Arial"/>
          <w:b/>
          <w:lang w:eastAsia="en-GB"/>
        </w:rPr>
        <w:t>37 per cent, 42 per cent and 14 per cent</w:t>
      </w:r>
      <w:r w:rsidRPr="00EE4620">
        <w:rPr>
          <w:rFonts w:ascii="Arial" w:eastAsia="Times New Roman" w:hAnsi="Arial" w:cs="Arial"/>
          <w:lang w:eastAsia="en-GB"/>
        </w:rPr>
        <w:t xml:space="preserve"> respectively).</w:t>
      </w:r>
    </w:p>
    <w:p w14:paraId="18907C10" w14:textId="77777777" w:rsidR="00EE4620" w:rsidRPr="00EE4620" w:rsidRDefault="00EE4620" w:rsidP="00EE4620">
      <w:pPr>
        <w:spacing w:after="0" w:line="240" w:lineRule="auto"/>
        <w:rPr>
          <w:rFonts w:ascii="Arial" w:eastAsia="Times New Roman" w:hAnsi="Arial" w:cs="Arial"/>
          <w:szCs w:val="20"/>
          <w:lang w:eastAsia="en-GB"/>
        </w:rPr>
      </w:pPr>
    </w:p>
    <w:p w14:paraId="18907C11" w14:textId="492FE36B" w:rsidR="00EE4620" w:rsidRPr="00EE4620" w:rsidRDefault="00EE4620" w:rsidP="009B2A11">
      <w:pPr>
        <w:numPr>
          <w:ilvl w:val="0"/>
          <w:numId w:val="3"/>
        </w:numPr>
        <w:spacing w:before="120" w:after="360" w:line="240" w:lineRule="auto"/>
        <w:ind w:left="567" w:hanging="567"/>
        <w:contextualSpacing/>
        <w:rPr>
          <w:rFonts w:ascii="Arial" w:eastAsia="Times New Roman" w:hAnsi="Arial" w:cs="Arial"/>
          <w:szCs w:val="20"/>
          <w:lang w:eastAsia="en-GB"/>
        </w:rPr>
      </w:pPr>
      <w:r w:rsidRPr="00EE4620">
        <w:rPr>
          <w:rFonts w:ascii="Arial" w:eastAsia="Times New Roman" w:hAnsi="Arial" w:cs="Arial"/>
          <w:lang w:eastAsia="en-GB"/>
        </w:rPr>
        <w:t xml:space="preserve">A third of </w:t>
      </w:r>
      <w:r w:rsidRPr="00EE4620">
        <w:rPr>
          <w:rFonts w:ascii="Arial" w:eastAsia="Times New Roman" w:hAnsi="Arial" w:cs="Arial"/>
          <w:b/>
          <w:lang w:eastAsia="en-GB"/>
        </w:rPr>
        <w:t xml:space="preserve">backbench councillors </w:t>
      </w:r>
      <w:r w:rsidRPr="00EE4620">
        <w:rPr>
          <w:rFonts w:ascii="Arial" w:eastAsia="Times New Roman" w:hAnsi="Arial" w:cs="Arial"/>
          <w:lang w:eastAsia="en-GB"/>
        </w:rPr>
        <w:t>(</w:t>
      </w:r>
      <w:r w:rsidRPr="00EE4620">
        <w:rPr>
          <w:rFonts w:ascii="Arial" w:eastAsia="Times New Roman" w:hAnsi="Arial" w:cs="Arial"/>
          <w:b/>
          <w:lang w:eastAsia="en-GB"/>
        </w:rPr>
        <w:t>33 per cent</w:t>
      </w:r>
      <w:r w:rsidRPr="00EE4620">
        <w:rPr>
          <w:rFonts w:ascii="Arial" w:eastAsia="Times New Roman" w:hAnsi="Arial" w:cs="Arial"/>
          <w:lang w:eastAsia="en-GB"/>
        </w:rPr>
        <w:t xml:space="preserve">) and </w:t>
      </w:r>
      <w:r w:rsidRPr="00EE4620">
        <w:rPr>
          <w:rFonts w:ascii="Arial" w:eastAsia="Times New Roman" w:hAnsi="Arial" w:cs="Arial"/>
          <w:b/>
          <w:lang w:eastAsia="en-GB"/>
        </w:rPr>
        <w:t>chairs of scrutiny</w:t>
      </w:r>
      <w:r w:rsidRPr="00EE4620">
        <w:rPr>
          <w:rFonts w:ascii="Arial" w:eastAsia="Times New Roman" w:hAnsi="Arial" w:cs="Arial"/>
          <w:lang w:eastAsia="en-GB"/>
        </w:rPr>
        <w:t xml:space="preserve"> (</w:t>
      </w:r>
      <w:r w:rsidRPr="00EE4620">
        <w:rPr>
          <w:rFonts w:ascii="Arial" w:eastAsia="Times New Roman" w:hAnsi="Arial" w:cs="Arial"/>
          <w:b/>
          <w:lang w:eastAsia="en-GB"/>
        </w:rPr>
        <w:t>35 per cent</w:t>
      </w:r>
      <w:r w:rsidRPr="00EE4620">
        <w:rPr>
          <w:rFonts w:ascii="Arial" w:eastAsia="Times New Roman" w:hAnsi="Arial" w:cs="Arial"/>
          <w:lang w:eastAsia="en-GB"/>
        </w:rPr>
        <w:t>) have never heard of the campaign.</w:t>
      </w:r>
    </w:p>
    <w:p w14:paraId="18907C12" w14:textId="77777777" w:rsidR="00EE4620" w:rsidRPr="00EE4620" w:rsidRDefault="00EE4620" w:rsidP="00EE4620">
      <w:pPr>
        <w:spacing w:after="0" w:line="240" w:lineRule="auto"/>
        <w:rPr>
          <w:rFonts w:ascii="Arial" w:eastAsia="Times New Roman" w:hAnsi="Arial" w:cs="Arial"/>
          <w:szCs w:val="20"/>
          <w:lang w:eastAsia="en-GB"/>
        </w:rPr>
      </w:pPr>
    </w:p>
    <w:p w14:paraId="18907C13" w14:textId="77777777" w:rsidR="00EE4620" w:rsidRPr="00EE4620" w:rsidRDefault="00EE4620" w:rsidP="00EE4620">
      <w:pPr>
        <w:spacing w:after="0" w:line="240" w:lineRule="auto"/>
        <w:rPr>
          <w:rFonts w:ascii="Arial" w:eastAsia="Times New Roman" w:hAnsi="Arial" w:cs="Arial"/>
          <w:szCs w:val="20"/>
          <w:lang w:eastAsia="en-GB"/>
        </w:rPr>
      </w:pPr>
    </w:p>
    <w:p w14:paraId="18907C14" w14:textId="77777777" w:rsidR="00EE4620" w:rsidRPr="00EE4620" w:rsidRDefault="00EE4620" w:rsidP="00EE4620">
      <w:pPr>
        <w:spacing w:after="0" w:line="240" w:lineRule="auto"/>
        <w:rPr>
          <w:rFonts w:ascii="Arial" w:eastAsia="Times New Roman" w:hAnsi="Arial" w:cs="Arial"/>
          <w:b/>
          <w:lang w:eastAsia="en-GB"/>
        </w:rPr>
      </w:pPr>
      <w:r w:rsidRPr="00EE4620">
        <w:rPr>
          <w:rFonts w:ascii="Arial" w:eastAsia="Times New Roman" w:hAnsi="Arial" w:cs="Arial"/>
          <w:b/>
          <w:lang w:eastAsia="en-GB"/>
        </w:rPr>
        <w:t xml:space="preserve">Table 18 – How much do you know about the LGA's Rewiring Public Services campaign?  </w:t>
      </w:r>
    </w:p>
    <w:p w14:paraId="18907C15" w14:textId="77777777" w:rsidR="00EE4620" w:rsidRPr="00EE4620" w:rsidRDefault="00EE4620" w:rsidP="00EE4620">
      <w:pPr>
        <w:spacing w:after="0" w:line="240" w:lineRule="auto"/>
        <w:rPr>
          <w:rFonts w:ascii="Arial" w:eastAsia="Times New Roman" w:hAnsi="Arial" w:cs="Arial"/>
          <w:b/>
          <w:sz w:val="24"/>
          <w:szCs w:val="24"/>
          <w:lang w:eastAsia="en-GB"/>
        </w:rPr>
      </w:pPr>
      <w:r w:rsidRPr="00EE4620">
        <w:rPr>
          <w:rFonts w:ascii="Arial" w:eastAsia="Times New Roman" w:hAnsi="Arial" w:cs="Times New Roman"/>
          <w:noProof/>
          <w:sz w:val="24"/>
          <w:szCs w:val="20"/>
          <w:lang w:eastAsia="en-GB"/>
        </w:rPr>
        <w:drawing>
          <wp:inline distT="0" distB="0" distL="0" distR="0" wp14:anchorId="18907D0E" wp14:editId="18907D0F">
            <wp:extent cx="5278120" cy="4669106"/>
            <wp:effectExtent l="0" t="0" r="0" b="0"/>
            <wp:docPr id="16"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8907C16" w14:textId="77777777" w:rsidR="00EE4620" w:rsidRPr="00EE4620" w:rsidRDefault="00EE4620" w:rsidP="00EE4620">
      <w:pPr>
        <w:spacing w:after="0" w:line="240" w:lineRule="auto"/>
        <w:rPr>
          <w:rFonts w:ascii="Arial" w:eastAsia="Times New Roman" w:hAnsi="Arial" w:cs="Arial"/>
          <w:b/>
          <w:sz w:val="24"/>
          <w:szCs w:val="24"/>
          <w:lang w:eastAsia="en-GB"/>
        </w:rPr>
      </w:pPr>
    </w:p>
    <w:p w14:paraId="18907C17" w14:textId="77777777" w:rsidR="00EE4620" w:rsidRPr="00EE4620" w:rsidRDefault="00EE4620" w:rsidP="00EE4620">
      <w:pPr>
        <w:spacing w:after="0" w:line="240" w:lineRule="auto"/>
        <w:rPr>
          <w:rFonts w:ascii="Arial" w:eastAsia="Times New Roman" w:hAnsi="Arial" w:cs="Arial"/>
          <w:b/>
          <w:lang w:eastAsia="en-GB"/>
        </w:rPr>
      </w:pPr>
    </w:p>
    <w:p w14:paraId="18907C18" w14:textId="77777777" w:rsidR="00EE4620" w:rsidRPr="00EE4620" w:rsidRDefault="00EE4620" w:rsidP="00EE4620">
      <w:pPr>
        <w:spacing w:after="0" w:line="240" w:lineRule="auto"/>
        <w:rPr>
          <w:rFonts w:ascii="Arial" w:eastAsia="Times New Roman" w:hAnsi="Arial" w:cs="Arial"/>
          <w:b/>
          <w:lang w:eastAsia="en-GB"/>
        </w:rPr>
      </w:pPr>
      <w:r w:rsidRPr="00EE4620">
        <w:rPr>
          <w:rFonts w:ascii="Arial" w:eastAsia="Times New Roman" w:hAnsi="Arial" w:cs="Arial"/>
          <w:b/>
          <w:lang w:eastAsia="en-GB"/>
        </w:rPr>
        <w:t>Engagement and contact with the LGA</w:t>
      </w:r>
    </w:p>
    <w:p w14:paraId="18907C19" w14:textId="77777777" w:rsidR="00EE4620" w:rsidRPr="00EE4620" w:rsidRDefault="00EE4620" w:rsidP="00EE4620">
      <w:pPr>
        <w:spacing w:after="0" w:line="240" w:lineRule="auto"/>
        <w:rPr>
          <w:rFonts w:ascii="Arial" w:eastAsia="Times New Roman" w:hAnsi="Arial" w:cs="Arial"/>
          <w:lang w:eastAsia="en-GB"/>
        </w:rPr>
      </w:pPr>
    </w:p>
    <w:p w14:paraId="18907C1A" w14:textId="2C85003E" w:rsidR="00EE4620" w:rsidRPr="00EE4620" w:rsidRDefault="00EE4620" w:rsidP="003169C2">
      <w:pPr>
        <w:numPr>
          <w:ilvl w:val="0"/>
          <w:numId w:val="3"/>
        </w:numPr>
        <w:spacing w:before="120" w:after="360" w:line="240" w:lineRule="auto"/>
        <w:ind w:left="567" w:hanging="567"/>
        <w:contextualSpacing/>
        <w:rPr>
          <w:rFonts w:ascii="Arial" w:eastAsia="Times New Roman" w:hAnsi="Arial" w:cs="Arial"/>
          <w:lang w:eastAsia="en-GB"/>
        </w:rPr>
      </w:pPr>
      <w:r w:rsidRPr="00EE4620">
        <w:rPr>
          <w:rFonts w:ascii="Arial" w:eastAsia="Times New Roman" w:hAnsi="Arial" w:cs="Arial"/>
          <w:lang w:eastAsia="en-GB"/>
        </w:rPr>
        <w:t>Nearly half (</w:t>
      </w:r>
      <w:r w:rsidRPr="00EE4620">
        <w:rPr>
          <w:rFonts w:ascii="Arial" w:eastAsia="Times New Roman" w:hAnsi="Arial" w:cs="Arial"/>
          <w:b/>
          <w:lang w:eastAsia="en-GB"/>
        </w:rPr>
        <w:t>48 per cent</w:t>
      </w:r>
      <w:r w:rsidRPr="00EE4620">
        <w:rPr>
          <w:rFonts w:ascii="Arial" w:eastAsia="Times New Roman" w:hAnsi="Arial" w:cs="Arial"/>
          <w:lang w:eastAsia="en-GB"/>
        </w:rPr>
        <w:t>) ’feel engaged’, which is a slight increase on 2012 (38 per cent).</w:t>
      </w:r>
    </w:p>
    <w:p w14:paraId="18907C1B" w14:textId="77777777" w:rsidR="00EE4620" w:rsidRPr="00EE4620" w:rsidRDefault="00EE4620" w:rsidP="00EE4620">
      <w:pPr>
        <w:spacing w:after="0" w:line="240" w:lineRule="auto"/>
        <w:rPr>
          <w:rFonts w:ascii="Arial" w:eastAsia="Times New Roman" w:hAnsi="Arial" w:cs="Arial"/>
          <w:lang w:eastAsia="en-GB"/>
        </w:rPr>
      </w:pPr>
    </w:p>
    <w:p w14:paraId="18907C1C" w14:textId="36508C0B" w:rsidR="00EE4620" w:rsidRPr="00EE4620" w:rsidRDefault="00EE4620" w:rsidP="003169C2">
      <w:pPr>
        <w:numPr>
          <w:ilvl w:val="0"/>
          <w:numId w:val="3"/>
        </w:numPr>
        <w:spacing w:before="120" w:after="360" w:line="240" w:lineRule="auto"/>
        <w:ind w:left="567" w:hanging="567"/>
        <w:contextualSpacing/>
        <w:rPr>
          <w:rFonts w:ascii="Arial" w:eastAsia="Times New Roman" w:hAnsi="Arial" w:cs="Arial"/>
          <w:szCs w:val="20"/>
          <w:lang w:eastAsia="en-GB"/>
        </w:rPr>
      </w:pPr>
      <w:r w:rsidRPr="00EE4620">
        <w:rPr>
          <w:rFonts w:ascii="Arial" w:eastAsia="Times New Roman" w:hAnsi="Arial" w:cs="Arial"/>
          <w:b/>
          <w:szCs w:val="20"/>
          <w:lang w:eastAsia="en-GB"/>
        </w:rPr>
        <w:t>Leaders</w:t>
      </w:r>
      <w:r w:rsidRPr="00EE4620">
        <w:rPr>
          <w:rFonts w:ascii="Arial" w:eastAsia="Times New Roman" w:hAnsi="Arial" w:cs="Arial"/>
          <w:szCs w:val="20"/>
          <w:lang w:eastAsia="en-GB"/>
        </w:rPr>
        <w:t xml:space="preserve"> and </w:t>
      </w:r>
      <w:r w:rsidRPr="00EE4620">
        <w:rPr>
          <w:rFonts w:ascii="Arial" w:eastAsia="Times New Roman" w:hAnsi="Arial" w:cs="Arial"/>
          <w:b/>
          <w:szCs w:val="20"/>
          <w:lang w:eastAsia="en-GB"/>
        </w:rPr>
        <w:t>chief executives</w:t>
      </w:r>
      <w:r w:rsidRPr="00EE4620">
        <w:rPr>
          <w:rFonts w:ascii="Arial" w:eastAsia="Times New Roman" w:hAnsi="Arial" w:cs="Arial"/>
          <w:szCs w:val="20"/>
          <w:lang w:eastAsia="en-GB"/>
        </w:rPr>
        <w:t xml:space="preserve"> are significantly more likely than those in other roles to be very engaged with the LGA (</w:t>
      </w:r>
      <w:r w:rsidRPr="00EE4620">
        <w:rPr>
          <w:rFonts w:ascii="Arial" w:eastAsia="Times New Roman" w:hAnsi="Arial" w:cs="Arial"/>
          <w:b/>
          <w:szCs w:val="20"/>
          <w:lang w:eastAsia="en-GB"/>
        </w:rPr>
        <w:t>20 per cent and 29 per cent</w:t>
      </w:r>
      <w:r w:rsidRPr="00EE4620">
        <w:rPr>
          <w:rFonts w:ascii="Arial" w:eastAsia="Times New Roman" w:hAnsi="Arial" w:cs="Arial"/>
          <w:szCs w:val="20"/>
          <w:lang w:eastAsia="en-GB"/>
        </w:rPr>
        <w:t xml:space="preserve"> respectively).</w:t>
      </w:r>
    </w:p>
    <w:p w14:paraId="18907C1D" w14:textId="77777777" w:rsidR="00EE4620" w:rsidRPr="00EE4620" w:rsidRDefault="00EE4620" w:rsidP="00EE4620">
      <w:pPr>
        <w:spacing w:after="0" w:line="240" w:lineRule="auto"/>
        <w:rPr>
          <w:rFonts w:ascii="Arial" w:eastAsia="Times New Roman" w:hAnsi="Arial" w:cs="Arial"/>
          <w:b/>
          <w:szCs w:val="20"/>
          <w:lang w:eastAsia="en-GB"/>
        </w:rPr>
      </w:pPr>
    </w:p>
    <w:p w14:paraId="18907C1E" w14:textId="77777777" w:rsidR="00EE4620" w:rsidRPr="00EE4620" w:rsidRDefault="00EE4620" w:rsidP="00EE4620">
      <w:pPr>
        <w:spacing w:after="0" w:line="240" w:lineRule="auto"/>
        <w:rPr>
          <w:rFonts w:ascii="Arial" w:eastAsia="Times New Roman" w:hAnsi="Arial" w:cs="Arial"/>
          <w:b/>
          <w:sz w:val="24"/>
          <w:szCs w:val="24"/>
          <w:lang w:eastAsia="en-GB"/>
        </w:rPr>
      </w:pPr>
    </w:p>
    <w:p w14:paraId="18907C1F" w14:textId="77777777" w:rsidR="00EE4620" w:rsidRPr="00EE4620" w:rsidRDefault="00EE4620" w:rsidP="00EE4620">
      <w:pPr>
        <w:spacing w:after="0" w:line="240" w:lineRule="auto"/>
        <w:rPr>
          <w:rFonts w:ascii="Arial" w:eastAsia="Times New Roman" w:hAnsi="Arial" w:cs="Arial"/>
          <w:b/>
          <w:sz w:val="24"/>
          <w:szCs w:val="24"/>
          <w:lang w:eastAsia="en-GB"/>
        </w:rPr>
      </w:pPr>
    </w:p>
    <w:p w14:paraId="18907C20" w14:textId="77777777" w:rsidR="00EE4620" w:rsidRPr="00EE4620" w:rsidRDefault="00EE4620" w:rsidP="00EE4620">
      <w:pPr>
        <w:spacing w:after="0" w:line="240" w:lineRule="auto"/>
        <w:rPr>
          <w:rFonts w:ascii="Arial" w:eastAsia="Times New Roman" w:hAnsi="Arial" w:cs="Arial"/>
          <w:b/>
          <w:sz w:val="24"/>
          <w:szCs w:val="24"/>
          <w:lang w:eastAsia="en-GB"/>
        </w:rPr>
      </w:pPr>
    </w:p>
    <w:p w14:paraId="18907C21" w14:textId="77777777" w:rsidR="00EE4620" w:rsidRPr="00EE4620" w:rsidRDefault="00EE4620" w:rsidP="00EE4620">
      <w:pPr>
        <w:spacing w:after="0" w:line="240" w:lineRule="auto"/>
        <w:rPr>
          <w:rFonts w:ascii="Arial" w:eastAsia="Times New Roman" w:hAnsi="Arial" w:cs="Arial"/>
          <w:b/>
          <w:sz w:val="24"/>
          <w:szCs w:val="24"/>
          <w:lang w:eastAsia="en-GB"/>
        </w:rPr>
      </w:pPr>
    </w:p>
    <w:p w14:paraId="18907C22" w14:textId="77777777" w:rsidR="00EE4620" w:rsidRDefault="00EE4620" w:rsidP="00EE4620">
      <w:pPr>
        <w:spacing w:after="0" w:line="240" w:lineRule="auto"/>
        <w:rPr>
          <w:rFonts w:ascii="Arial" w:eastAsia="Times New Roman" w:hAnsi="Arial" w:cs="Arial"/>
          <w:b/>
          <w:lang w:eastAsia="en-GB"/>
        </w:rPr>
      </w:pPr>
      <w:r>
        <w:rPr>
          <w:rFonts w:ascii="Arial" w:eastAsia="Times New Roman" w:hAnsi="Arial" w:cs="Arial"/>
          <w:b/>
          <w:lang w:eastAsia="en-GB"/>
        </w:rPr>
        <w:br w:type="page"/>
      </w:r>
    </w:p>
    <w:p w14:paraId="18907C23" w14:textId="77777777" w:rsidR="00EE4620" w:rsidRPr="00EE4620" w:rsidRDefault="00EE4620" w:rsidP="00EE4620">
      <w:pPr>
        <w:spacing w:after="0" w:line="240" w:lineRule="auto"/>
        <w:rPr>
          <w:rFonts w:ascii="Arial" w:eastAsia="Times New Roman" w:hAnsi="Arial" w:cs="Arial"/>
          <w:b/>
          <w:lang w:eastAsia="en-GB"/>
        </w:rPr>
      </w:pPr>
      <w:r w:rsidRPr="00EE4620">
        <w:rPr>
          <w:rFonts w:ascii="Arial" w:eastAsia="Times New Roman" w:hAnsi="Arial" w:cs="Arial"/>
          <w:b/>
          <w:lang w:eastAsia="en-GB"/>
        </w:rPr>
        <w:lastRenderedPageBreak/>
        <w:t xml:space="preserve">Table 19 – How engaged do you feel you are with the LGA?  </w:t>
      </w:r>
    </w:p>
    <w:p w14:paraId="18907C24" w14:textId="77777777" w:rsidR="00EE4620" w:rsidRPr="00EE4620" w:rsidRDefault="00EE4620" w:rsidP="00EE4620">
      <w:pPr>
        <w:spacing w:after="0" w:line="240" w:lineRule="auto"/>
        <w:rPr>
          <w:rFonts w:ascii="Arial" w:eastAsia="Times New Roman" w:hAnsi="Arial" w:cs="Arial"/>
          <w:b/>
          <w:sz w:val="24"/>
          <w:szCs w:val="24"/>
          <w:lang w:eastAsia="en-GB"/>
        </w:rPr>
      </w:pPr>
    </w:p>
    <w:p w14:paraId="18907C25" w14:textId="77777777" w:rsidR="00EE4620" w:rsidRPr="00EE4620" w:rsidRDefault="00EE4620" w:rsidP="00EE4620">
      <w:pPr>
        <w:spacing w:after="0" w:line="240" w:lineRule="auto"/>
        <w:rPr>
          <w:rFonts w:ascii="Arial" w:eastAsia="Times New Roman" w:hAnsi="Arial" w:cs="Arial"/>
          <w:sz w:val="24"/>
          <w:szCs w:val="24"/>
          <w:lang w:eastAsia="en-GB"/>
        </w:rPr>
      </w:pPr>
      <w:r w:rsidRPr="00EE4620">
        <w:rPr>
          <w:rFonts w:ascii="Arial" w:eastAsia="Times New Roman" w:hAnsi="Arial" w:cs="Times New Roman"/>
          <w:noProof/>
          <w:sz w:val="24"/>
          <w:szCs w:val="20"/>
          <w:lang w:eastAsia="en-GB"/>
        </w:rPr>
        <w:drawing>
          <wp:inline distT="0" distB="0" distL="0" distR="0" wp14:anchorId="18907D10" wp14:editId="18907D11">
            <wp:extent cx="5278120" cy="3552744"/>
            <wp:effectExtent l="0" t="0" r="0" b="0"/>
            <wp:docPr id="17"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8907C26" w14:textId="77777777" w:rsidR="00EE4620" w:rsidRPr="00EE4620" w:rsidRDefault="00EE4620" w:rsidP="00EE4620">
      <w:pPr>
        <w:spacing w:after="0" w:line="240" w:lineRule="auto"/>
        <w:rPr>
          <w:rFonts w:ascii="Arial" w:eastAsia="Times New Roman" w:hAnsi="Arial" w:cs="Arial"/>
          <w:b/>
          <w:lang w:eastAsia="en-GB"/>
        </w:rPr>
      </w:pPr>
    </w:p>
    <w:p w14:paraId="18907C27" w14:textId="77777777" w:rsidR="00EE4620" w:rsidRPr="00EE4620" w:rsidRDefault="00EE4620" w:rsidP="00EE4620">
      <w:pPr>
        <w:spacing w:after="0" w:line="240" w:lineRule="auto"/>
        <w:rPr>
          <w:rFonts w:ascii="Arial" w:eastAsia="Times New Roman" w:hAnsi="Arial" w:cs="Arial"/>
          <w:b/>
          <w:lang w:eastAsia="en-GB"/>
        </w:rPr>
      </w:pPr>
    </w:p>
    <w:p w14:paraId="18907C28" w14:textId="77777777" w:rsidR="00EE4620" w:rsidRPr="00EE4620" w:rsidRDefault="00EE4620" w:rsidP="00EE4620">
      <w:pPr>
        <w:spacing w:after="0" w:line="240" w:lineRule="auto"/>
        <w:rPr>
          <w:rFonts w:ascii="Arial" w:eastAsia="Times New Roman" w:hAnsi="Arial" w:cs="Arial"/>
          <w:b/>
          <w:lang w:eastAsia="en-GB"/>
        </w:rPr>
      </w:pPr>
      <w:r w:rsidRPr="00EE4620">
        <w:rPr>
          <w:rFonts w:ascii="Arial" w:eastAsia="Times New Roman" w:hAnsi="Arial" w:cs="Arial"/>
          <w:b/>
          <w:lang w:eastAsia="en-GB"/>
        </w:rPr>
        <w:t>How do respondents engage with the LGA?</w:t>
      </w:r>
    </w:p>
    <w:p w14:paraId="18907C29" w14:textId="77777777" w:rsidR="00EE4620" w:rsidRPr="00EE4620" w:rsidRDefault="00EE4620" w:rsidP="00EE4620">
      <w:pPr>
        <w:spacing w:after="0" w:line="240" w:lineRule="auto"/>
        <w:rPr>
          <w:rFonts w:ascii="Arial" w:eastAsia="Times New Roman" w:hAnsi="Arial" w:cs="Arial"/>
          <w:lang w:eastAsia="en-GB"/>
        </w:rPr>
      </w:pPr>
    </w:p>
    <w:p w14:paraId="13ED8370" w14:textId="77777777" w:rsidR="006D574F" w:rsidRDefault="00EE4620" w:rsidP="006D574F">
      <w:pPr>
        <w:numPr>
          <w:ilvl w:val="0"/>
          <w:numId w:val="3"/>
        </w:numPr>
        <w:spacing w:before="120" w:after="360" w:line="240" w:lineRule="auto"/>
        <w:ind w:left="567" w:hanging="567"/>
        <w:contextualSpacing/>
        <w:rPr>
          <w:rFonts w:ascii="Arial" w:eastAsia="Times New Roman" w:hAnsi="Arial" w:cs="Arial"/>
          <w:lang w:eastAsia="en-GB"/>
        </w:rPr>
      </w:pPr>
      <w:r w:rsidRPr="00EE4620">
        <w:rPr>
          <w:rFonts w:ascii="Arial" w:eastAsia="Times New Roman" w:hAnsi="Arial" w:cs="Arial"/>
          <w:lang w:eastAsia="en-GB"/>
        </w:rPr>
        <w:t>Respondents reported a range of ways that they engage with the LGA:</w:t>
      </w:r>
    </w:p>
    <w:p w14:paraId="07A8F8F0" w14:textId="77777777" w:rsidR="006D574F" w:rsidRDefault="006D574F" w:rsidP="006D574F">
      <w:pPr>
        <w:spacing w:before="120" w:after="360" w:line="240" w:lineRule="auto"/>
        <w:ind w:left="567"/>
        <w:contextualSpacing/>
        <w:rPr>
          <w:rFonts w:ascii="Arial" w:eastAsia="Times New Roman" w:hAnsi="Arial" w:cs="Arial"/>
          <w:lang w:eastAsia="en-GB"/>
        </w:rPr>
      </w:pPr>
    </w:p>
    <w:p w14:paraId="18907C2C" w14:textId="19D820BA" w:rsidR="00EE4620" w:rsidRPr="006D574F" w:rsidRDefault="00EE4620" w:rsidP="00085821">
      <w:pPr>
        <w:numPr>
          <w:ilvl w:val="1"/>
          <w:numId w:val="3"/>
        </w:numPr>
        <w:spacing w:before="120" w:after="360" w:line="240" w:lineRule="auto"/>
        <w:ind w:left="1208" w:hanging="641"/>
        <w:contextualSpacing/>
        <w:rPr>
          <w:rFonts w:ascii="Arial" w:eastAsia="Times New Roman" w:hAnsi="Arial" w:cs="Arial"/>
          <w:lang w:eastAsia="en-GB"/>
        </w:rPr>
      </w:pPr>
      <w:r w:rsidRPr="006D574F">
        <w:rPr>
          <w:rFonts w:ascii="Arial" w:eastAsia="Arial" w:hAnsi="Arial" w:cs="Arial"/>
        </w:rPr>
        <w:t>Responding to LGA consultations (</w:t>
      </w:r>
      <w:r w:rsidRPr="006D574F">
        <w:rPr>
          <w:rFonts w:ascii="Arial" w:eastAsia="Arial" w:hAnsi="Arial" w:cs="Arial"/>
          <w:b/>
        </w:rPr>
        <w:t>50 per cent</w:t>
      </w:r>
      <w:r w:rsidRPr="006D574F">
        <w:rPr>
          <w:rFonts w:ascii="Arial" w:eastAsia="Arial" w:hAnsi="Arial" w:cs="Arial"/>
        </w:rPr>
        <w:t>);</w:t>
      </w:r>
    </w:p>
    <w:p w14:paraId="18907C2D" w14:textId="77777777" w:rsidR="00EE4620" w:rsidRPr="00EE4620" w:rsidRDefault="00EE4620" w:rsidP="00085821">
      <w:pPr>
        <w:numPr>
          <w:ilvl w:val="1"/>
          <w:numId w:val="3"/>
        </w:numPr>
        <w:spacing w:before="120" w:after="360" w:line="240" w:lineRule="auto"/>
        <w:ind w:left="1208" w:hanging="641"/>
        <w:contextualSpacing/>
        <w:rPr>
          <w:rFonts w:ascii="Arial" w:eastAsia="Arial" w:hAnsi="Arial" w:cs="Arial"/>
        </w:rPr>
      </w:pPr>
      <w:r w:rsidRPr="00EE4620">
        <w:rPr>
          <w:rFonts w:ascii="Arial" w:eastAsia="Arial" w:hAnsi="Arial" w:cs="Arial"/>
        </w:rPr>
        <w:t>Attending LGA events (</w:t>
      </w:r>
      <w:r w:rsidRPr="00EE4620">
        <w:rPr>
          <w:rFonts w:ascii="Arial" w:eastAsia="Arial" w:hAnsi="Arial" w:cs="Arial"/>
          <w:b/>
        </w:rPr>
        <w:t>48 per cent</w:t>
      </w:r>
      <w:r w:rsidRPr="00EE4620">
        <w:rPr>
          <w:rFonts w:ascii="Arial" w:eastAsia="Arial" w:hAnsi="Arial" w:cs="Arial"/>
        </w:rPr>
        <w:t>);</w:t>
      </w:r>
    </w:p>
    <w:p w14:paraId="18907C2E" w14:textId="77777777" w:rsidR="00EE4620" w:rsidRPr="00EE4620" w:rsidRDefault="00EE4620" w:rsidP="00085821">
      <w:pPr>
        <w:numPr>
          <w:ilvl w:val="1"/>
          <w:numId w:val="3"/>
        </w:numPr>
        <w:spacing w:before="120" w:after="360" w:line="240" w:lineRule="auto"/>
        <w:ind w:left="1208" w:hanging="641"/>
        <w:contextualSpacing/>
        <w:rPr>
          <w:rFonts w:ascii="Arial" w:eastAsia="Arial" w:hAnsi="Arial" w:cs="Arial"/>
        </w:rPr>
      </w:pPr>
      <w:r w:rsidRPr="00EE4620">
        <w:rPr>
          <w:rFonts w:ascii="Arial" w:eastAsia="Arial" w:hAnsi="Arial" w:cs="Arial"/>
        </w:rPr>
        <w:t>Contributing in LGA meetings/seminars (</w:t>
      </w:r>
      <w:r w:rsidRPr="00EE4620">
        <w:rPr>
          <w:rFonts w:ascii="Arial" w:eastAsia="Arial" w:hAnsi="Arial" w:cs="Arial"/>
          <w:b/>
        </w:rPr>
        <w:t>39 per cent</w:t>
      </w:r>
      <w:r w:rsidRPr="00EE4620">
        <w:rPr>
          <w:rFonts w:ascii="Arial" w:eastAsia="Arial" w:hAnsi="Arial" w:cs="Arial"/>
        </w:rPr>
        <w:t>); and</w:t>
      </w:r>
    </w:p>
    <w:p w14:paraId="18907C2F" w14:textId="77777777" w:rsidR="00EE4620" w:rsidRDefault="00EE4620" w:rsidP="00085821">
      <w:pPr>
        <w:numPr>
          <w:ilvl w:val="1"/>
          <w:numId w:val="3"/>
        </w:numPr>
        <w:spacing w:before="120" w:after="360" w:line="240" w:lineRule="auto"/>
        <w:ind w:left="1208" w:hanging="641"/>
        <w:contextualSpacing/>
        <w:rPr>
          <w:rFonts w:ascii="Arial" w:eastAsia="Arial" w:hAnsi="Arial" w:cs="Arial"/>
        </w:rPr>
      </w:pPr>
      <w:bookmarkStart w:id="0" w:name="_GoBack"/>
      <w:bookmarkEnd w:id="0"/>
      <w:r w:rsidRPr="00EE4620">
        <w:rPr>
          <w:rFonts w:ascii="Arial" w:eastAsia="Arial" w:hAnsi="Arial" w:cs="Arial"/>
        </w:rPr>
        <w:t>Contacting LGA officers by email or phone (</w:t>
      </w:r>
      <w:r w:rsidRPr="00EE4620">
        <w:rPr>
          <w:rFonts w:ascii="Arial" w:eastAsia="Arial" w:hAnsi="Arial" w:cs="Arial"/>
          <w:b/>
        </w:rPr>
        <w:t>37 per cent</w:t>
      </w:r>
      <w:r w:rsidRPr="00EE4620">
        <w:rPr>
          <w:rFonts w:ascii="Arial" w:eastAsia="Arial" w:hAnsi="Arial" w:cs="Arial"/>
        </w:rPr>
        <w:t>).</w:t>
      </w:r>
    </w:p>
    <w:p w14:paraId="18907C30" w14:textId="77777777" w:rsidR="00EE4620" w:rsidRPr="00EE4620" w:rsidRDefault="00EE4620" w:rsidP="00EE4620">
      <w:pPr>
        <w:spacing w:before="120" w:after="360" w:line="240" w:lineRule="auto"/>
        <w:ind w:left="1140"/>
        <w:contextualSpacing/>
        <w:rPr>
          <w:rFonts w:ascii="Arial" w:eastAsia="Arial" w:hAnsi="Arial" w:cs="Arial"/>
        </w:rPr>
      </w:pPr>
    </w:p>
    <w:p w14:paraId="18907C31" w14:textId="762FE085" w:rsidR="00EE4620" w:rsidRPr="00EE4620" w:rsidRDefault="00EE4620" w:rsidP="006D574F">
      <w:pPr>
        <w:numPr>
          <w:ilvl w:val="0"/>
          <w:numId w:val="3"/>
        </w:numPr>
        <w:spacing w:before="120" w:after="360" w:line="240" w:lineRule="auto"/>
        <w:ind w:left="567" w:hanging="567"/>
        <w:contextualSpacing/>
        <w:rPr>
          <w:rFonts w:ascii="Arial" w:eastAsia="Times New Roman" w:hAnsi="Arial" w:cs="Arial"/>
          <w:lang w:eastAsia="en-GB"/>
        </w:rPr>
      </w:pPr>
      <w:r w:rsidRPr="00EE4620">
        <w:rPr>
          <w:rFonts w:ascii="Arial" w:eastAsia="Times New Roman" w:hAnsi="Arial" w:cs="Arial"/>
          <w:lang w:eastAsia="en-GB"/>
        </w:rPr>
        <w:t>This is very similar to 2012.</w:t>
      </w:r>
    </w:p>
    <w:p w14:paraId="18907C32" w14:textId="77777777" w:rsidR="00EE4620" w:rsidRPr="00EE4620" w:rsidRDefault="00EE4620" w:rsidP="00EE4620">
      <w:pPr>
        <w:spacing w:after="0" w:line="240" w:lineRule="auto"/>
        <w:rPr>
          <w:rFonts w:ascii="Arial" w:eastAsia="Times New Roman" w:hAnsi="Arial" w:cs="Arial"/>
          <w:b/>
          <w:sz w:val="24"/>
          <w:szCs w:val="24"/>
          <w:lang w:eastAsia="en-GB"/>
        </w:rPr>
      </w:pPr>
    </w:p>
    <w:p w14:paraId="18907C33" w14:textId="77777777" w:rsidR="00EE4620" w:rsidRPr="00EE4620" w:rsidRDefault="00EE4620" w:rsidP="00EE4620">
      <w:pPr>
        <w:spacing w:after="0" w:line="240" w:lineRule="auto"/>
        <w:rPr>
          <w:rFonts w:ascii="Arial" w:eastAsia="Times New Roman" w:hAnsi="Arial" w:cs="Arial"/>
          <w:b/>
          <w:lang w:eastAsia="en-GB"/>
        </w:rPr>
      </w:pPr>
      <w:r w:rsidRPr="00EE4620">
        <w:rPr>
          <w:rFonts w:ascii="Arial" w:eastAsia="Times New Roman" w:hAnsi="Arial" w:cs="Arial"/>
          <w:b/>
          <w:lang w:eastAsia="en-GB"/>
        </w:rPr>
        <w:br w:type="page"/>
      </w:r>
    </w:p>
    <w:p w14:paraId="18907C34" w14:textId="77777777" w:rsidR="00EE4620" w:rsidRPr="00EE4620" w:rsidRDefault="00EE4620" w:rsidP="00EE4620">
      <w:pPr>
        <w:spacing w:after="0" w:line="240" w:lineRule="auto"/>
        <w:jc w:val="both"/>
        <w:rPr>
          <w:rFonts w:ascii="Arial" w:eastAsia="Times New Roman" w:hAnsi="Arial" w:cs="Arial"/>
          <w:b/>
          <w:lang w:eastAsia="en-GB"/>
        </w:rPr>
      </w:pPr>
      <w:r w:rsidRPr="00EE4620">
        <w:rPr>
          <w:rFonts w:ascii="Arial" w:eastAsia="Times New Roman" w:hAnsi="Arial" w:cs="Arial"/>
          <w:b/>
          <w:lang w:eastAsia="en-GB"/>
        </w:rPr>
        <w:lastRenderedPageBreak/>
        <w:t xml:space="preserve">Table 20 – By what means do you engage with the LGA?  </w:t>
      </w:r>
    </w:p>
    <w:p w14:paraId="18907C35" w14:textId="77777777" w:rsidR="00EE4620" w:rsidRPr="00EE4620" w:rsidRDefault="00EE4620" w:rsidP="00EE4620">
      <w:pPr>
        <w:spacing w:after="0" w:line="240" w:lineRule="auto"/>
        <w:jc w:val="both"/>
        <w:rPr>
          <w:rFonts w:ascii="Arial" w:eastAsia="Times New Roman" w:hAnsi="Arial" w:cs="Arial"/>
          <w:b/>
          <w:sz w:val="24"/>
          <w:szCs w:val="24"/>
          <w:lang w:eastAsia="en-GB"/>
        </w:rPr>
      </w:pPr>
    </w:p>
    <w:p w14:paraId="18907C36" w14:textId="77777777" w:rsidR="00EE4620" w:rsidRPr="00EE4620" w:rsidRDefault="00EE4620" w:rsidP="00EE4620">
      <w:pPr>
        <w:spacing w:after="0" w:line="240" w:lineRule="auto"/>
        <w:jc w:val="both"/>
        <w:rPr>
          <w:rFonts w:ascii="Arial" w:eastAsia="Times New Roman" w:hAnsi="Arial" w:cs="Arial"/>
          <w:b/>
          <w:sz w:val="24"/>
          <w:szCs w:val="24"/>
          <w:lang w:eastAsia="en-GB"/>
        </w:rPr>
      </w:pPr>
      <w:r w:rsidRPr="00EE4620">
        <w:rPr>
          <w:rFonts w:ascii="Arial" w:eastAsia="Times New Roman" w:hAnsi="Arial" w:cs="Times New Roman"/>
          <w:noProof/>
          <w:sz w:val="24"/>
          <w:szCs w:val="20"/>
          <w:lang w:eastAsia="en-GB"/>
        </w:rPr>
        <w:drawing>
          <wp:inline distT="0" distB="0" distL="0" distR="0" wp14:anchorId="18907D12" wp14:editId="18907D13">
            <wp:extent cx="5278120" cy="4755367"/>
            <wp:effectExtent l="0" t="0" r="0" b="7620"/>
            <wp:docPr id="18"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8907C37" w14:textId="77777777" w:rsidR="00EE4620" w:rsidRPr="00EE4620" w:rsidRDefault="00EE4620" w:rsidP="00EE4620">
      <w:pPr>
        <w:spacing w:after="0" w:line="240" w:lineRule="auto"/>
        <w:jc w:val="both"/>
        <w:rPr>
          <w:rFonts w:ascii="Arial" w:eastAsia="Times New Roman" w:hAnsi="Arial" w:cs="Arial"/>
          <w:sz w:val="24"/>
          <w:szCs w:val="24"/>
          <w:lang w:eastAsia="en-GB"/>
        </w:rPr>
      </w:pPr>
    </w:p>
    <w:p w14:paraId="18907C38" w14:textId="01514D4E" w:rsidR="00EE4620" w:rsidRPr="00EE4620" w:rsidRDefault="00EE4620" w:rsidP="006D574F">
      <w:pPr>
        <w:numPr>
          <w:ilvl w:val="0"/>
          <w:numId w:val="3"/>
        </w:numPr>
        <w:spacing w:before="120" w:after="360" w:line="240" w:lineRule="auto"/>
        <w:ind w:left="567" w:hanging="567"/>
        <w:contextualSpacing/>
        <w:rPr>
          <w:rFonts w:ascii="Arial" w:eastAsia="Times New Roman" w:hAnsi="Arial" w:cs="Arial"/>
          <w:szCs w:val="20"/>
          <w:lang w:eastAsia="en-GB"/>
        </w:rPr>
      </w:pPr>
      <w:r w:rsidRPr="00EE4620">
        <w:rPr>
          <w:rFonts w:ascii="Arial" w:eastAsia="Times New Roman" w:hAnsi="Arial" w:cs="Arial"/>
          <w:b/>
          <w:szCs w:val="20"/>
          <w:lang w:eastAsia="en-GB"/>
        </w:rPr>
        <w:t>Frontbench councillors</w:t>
      </w:r>
      <w:r w:rsidRPr="00EE4620">
        <w:rPr>
          <w:rFonts w:ascii="Arial" w:eastAsia="Times New Roman" w:hAnsi="Arial" w:cs="Arial"/>
          <w:szCs w:val="20"/>
          <w:lang w:eastAsia="en-GB"/>
        </w:rPr>
        <w:t xml:space="preserve"> and </w:t>
      </w:r>
      <w:r w:rsidRPr="00EE4620">
        <w:rPr>
          <w:rFonts w:ascii="Arial" w:eastAsia="Times New Roman" w:hAnsi="Arial" w:cs="Arial"/>
          <w:b/>
          <w:szCs w:val="20"/>
          <w:lang w:eastAsia="en-GB"/>
        </w:rPr>
        <w:t>officers</w:t>
      </w:r>
      <w:r w:rsidRPr="00EE4620">
        <w:rPr>
          <w:rFonts w:ascii="Arial" w:eastAsia="Times New Roman" w:hAnsi="Arial" w:cs="Arial"/>
          <w:szCs w:val="20"/>
          <w:lang w:eastAsia="en-GB"/>
        </w:rPr>
        <w:t xml:space="preserve"> are significantly more likely than backbench councillors to engage with the LGA through visits from LGA councillors and staff to their council (</w:t>
      </w:r>
      <w:r w:rsidRPr="00EE4620">
        <w:rPr>
          <w:rFonts w:ascii="Arial" w:eastAsia="Times New Roman" w:hAnsi="Arial" w:cs="Arial"/>
          <w:b/>
          <w:szCs w:val="20"/>
          <w:lang w:eastAsia="en-GB"/>
        </w:rPr>
        <w:t>38 per cent, 44 per cent and 17 per cent</w:t>
      </w:r>
      <w:r w:rsidRPr="00EE4620">
        <w:rPr>
          <w:rFonts w:ascii="Arial" w:eastAsia="Times New Roman" w:hAnsi="Arial" w:cs="Arial"/>
          <w:szCs w:val="20"/>
          <w:lang w:eastAsia="en-GB"/>
        </w:rPr>
        <w:t xml:space="preserve"> respectively).</w:t>
      </w:r>
    </w:p>
    <w:p w14:paraId="18907C39" w14:textId="77777777" w:rsidR="00EE4620" w:rsidRPr="00EE4620" w:rsidRDefault="00EE4620" w:rsidP="00EE4620">
      <w:pPr>
        <w:spacing w:after="0" w:line="240" w:lineRule="auto"/>
        <w:rPr>
          <w:rFonts w:ascii="Arial" w:eastAsia="Times New Roman" w:hAnsi="Arial" w:cs="Arial"/>
          <w:szCs w:val="20"/>
          <w:lang w:eastAsia="en-GB"/>
        </w:rPr>
      </w:pPr>
    </w:p>
    <w:p w14:paraId="18907C3A" w14:textId="3BBAA3F3" w:rsidR="00EE4620" w:rsidRPr="00EE4620" w:rsidRDefault="00EE4620" w:rsidP="006D574F">
      <w:pPr>
        <w:numPr>
          <w:ilvl w:val="0"/>
          <w:numId w:val="3"/>
        </w:numPr>
        <w:spacing w:before="120" w:after="360" w:line="240" w:lineRule="auto"/>
        <w:ind w:left="567" w:hanging="567"/>
        <w:contextualSpacing/>
        <w:rPr>
          <w:rFonts w:ascii="Arial" w:eastAsia="Times New Roman" w:hAnsi="Arial" w:cs="Arial"/>
          <w:szCs w:val="20"/>
          <w:lang w:eastAsia="en-GB"/>
        </w:rPr>
      </w:pPr>
      <w:r w:rsidRPr="00EE4620">
        <w:rPr>
          <w:rFonts w:ascii="Arial" w:eastAsia="Times New Roman" w:hAnsi="Arial" w:cs="Arial"/>
          <w:b/>
          <w:szCs w:val="20"/>
          <w:lang w:eastAsia="en-GB"/>
        </w:rPr>
        <w:t>Frontbench councillors</w:t>
      </w:r>
      <w:r w:rsidRPr="00EE4620">
        <w:rPr>
          <w:rFonts w:ascii="Arial" w:eastAsia="Times New Roman" w:hAnsi="Arial" w:cs="Arial"/>
          <w:szCs w:val="20"/>
          <w:lang w:eastAsia="en-GB"/>
        </w:rPr>
        <w:t xml:space="preserve"> are most likely to engage with the LGA by attending </w:t>
      </w:r>
      <w:r w:rsidRPr="00EE4620">
        <w:rPr>
          <w:rFonts w:ascii="Arial" w:eastAsia="Times New Roman" w:hAnsi="Arial" w:cs="Arial"/>
          <w:szCs w:val="20"/>
          <w:lang w:eastAsia="en-GB"/>
        </w:rPr>
        <w:tab/>
        <w:t>LGA events (</w:t>
      </w:r>
      <w:r w:rsidRPr="00EE4620">
        <w:rPr>
          <w:rFonts w:ascii="Arial" w:eastAsia="Times New Roman" w:hAnsi="Arial" w:cs="Arial"/>
          <w:b/>
          <w:szCs w:val="20"/>
          <w:lang w:eastAsia="en-GB"/>
        </w:rPr>
        <w:t>51 per cent</w:t>
      </w:r>
      <w:r w:rsidRPr="00EE4620">
        <w:rPr>
          <w:rFonts w:ascii="Arial" w:eastAsia="Times New Roman" w:hAnsi="Arial" w:cs="Arial"/>
          <w:szCs w:val="20"/>
          <w:lang w:eastAsia="en-GB"/>
        </w:rPr>
        <w:t>) and responding to LGA consultations (</w:t>
      </w:r>
      <w:r w:rsidRPr="00EE4620">
        <w:rPr>
          <w:rFonts w:ascii="Arial" w:eastAsia="Times New Roman" w:hAnsi="Arial" w:cs="Arial"/>
          <w:b/>
          <w:szCs w:val="20"/>
          <w:lang w:eastAsia="en-GB"/>
        </w:rPr>
        <w:t>50 per cent</w:t>
      </w:r>
      <w:r w:rsidRPr="00EE4620">
        <w:rPr>
          <w:rFonts w:ascii="Arial" w:eastAsia="Times New Roman" w:hAnsi="Arial" w:cs="Arial"/>
          <w:szCs w:val="20"/>
          <w:lang w:eastAsia="en-GB"/>
        </w:rPr>
        <w:t xml:space="preserve">).  </w:t>
      </w:r>
    </w:p>
    <w:p w14:paraId="18907C3B" w14:textId="77777777" w:rsidR="00EE4620" w:rsidRPr="00EE4620" w:rsidRDefault="00EE4620" w:rsidP="00EE4620">
      <w:pPr>
        <w:spacing w:after="0" w:line="240" w:lineRule="auto"/>
        <w:jc w:val="both"/>
        <w:rPr>
          <w:rFonts w:ascii="Arial" w:eastAsia="Times New Roman" w:hAnsi="Arial" w:cs="Arial"/>
          <w:szCs w:val="20"/>
          <w:lang w:eastAsia="en-GB"/>
        </w:rPr>
      </w:pPr>
    </w:p>
    <w:p w14:paraId="18907C3C" w14:textId="2DB98B5F" w:rsidR="00EE4620" w:rsidRPr="00EE4620" w:rsidRDefault="00EE4620" w:rsidP="006D574F">
      <w:pPr>
        <w:numPr>
          <w:ilvl w:val="0"/>
          <w:numId w:val="3"/>
        </w:numPr>
        <w:spacing w:before="120" w:after="360" w:line="240" w:lineRule="auto"/>
        <w:ind w:left="567" w:hanging="567"/>
        <w:contextualSpacing/>
        <w:rPr>
          <w:rFonts w:ascii="Arial" w:eastAsia="Times New Roman" w:hAnsi="Arial" w:cs="Arial"/>
          <w:szCs w:val="20"/>
          <w:lang w:eastAsia="en-GB"/>
        </w:rPr>
      </w:pPr>
      <w:r w:rsidRPr="00EE4620">
        <w:rPr>
          <w:rFonts w:ascii="Arial" w:eastAsia="Times New Roman" w:hAnsi="Arial" w:cs="Arial"/>
          <w:b/>
          <w:szCs w:val="20"/>
          <w:lang w:eastAsia="en-GB"/>
        </w:rPr>
        <w:t xml:space="preserve">Backbench councillors </w:t>
      </w:r>
      <w:r w:rsidRPr="00EE4620">
        <w:rPr>
          <w:rFonts w:ascii="Arial" w:eastAsia="Times New Roman" w:hAnsi="Arial" w:cs="Arial"/>
          <w:szCs w:val="20"/>
          <w:lang w:eastAsia="en-GB"/>
        </w:rPr>
        <w:t>are most likely to engage with the LGA by responding to consultations (</w:t>
      </w:r>
      <w:r w:rsidRPr="00EE4620">
        <w:rPr>
          <w:rFonts w:ascii="Arial" w:eastAsia="Times New Roman" w:hAnsi="Arial" w:cs="Arial"/>
          <w:b/>
          <w:szCs w:val="20"/>
          <w:lang w:eastAsia="en-GB"/>
        </w:rPr>
        <w:t>33 per cent</w:t>
      </w:r>
      <w:r w:rsidRPr="00EE4620">
        <w:rPr>
          <w:rFonts w:ascii="Arial" w:eastAsia="Times New Roman" w:hAnsi="Arial" w:cs="Arial"/>
          <w:szCs w:val="20"/>
          <w:lang w:eastAsia="en-GB"/>
        </w:rPr>
        <w:t>) and through magazines (including ‘First’) (</w:t>
      </w:r>
      <w:r w:rsidRPr="00EE4620">
        <w:rPr>
          <w:rFonts w:ascii="Arial" w:eastAsia="Times New Roman" w:hAnsi="Arial" w:cs="Arial"/>
          <w:b/>
          <w:szCs w:val="20"/>
          <w:lang w:eastAsia="en-GB"/>
        </w:rPr>
        <w:t>13 per cent</w:t>
      </w:r>
      <w:r w:rsidRPr="00EE4620">
        <w:rPr>
          <w:rFonts w:ascii="Arial" w:eastAsia="Times New Roman" w:hAnsi="Arial" w:cs="Arial"/>
          <w:szCs w:val="20"/>
          <w:lang w:eastAsia="en-GB"/>
        </w:rPr>
        <w:t>)</w:t>
      </w:r>
    </w:p>
    <w:p w14:paraId="18907C3D" w14:textId="77777777" w:rsidR="00EE4620" w:rsidRPr="00EE4620" w:rsidRDefault="00EE4620" w:rsidP="00EE4620">
      <w:pPr>
        <w:spacing w:after="0" w:line="240" w:lineRule="auto"/>
        <w:rPr>
          <w:rFonts w:ascii="Arial" w:eastAsia="Times New Roman" w:hAnsi="Arial" w:cs="Arial"/>
          <w:szCs w:val="20"/>
          <w:lang w:eastAsia="en-GB"/>
        </w:rPr>
      </w:pPr>
    </w:p>
    <w:p w14:paraId="18907C3E" w14:textId="3C7C22D6" w:rsidR="00EE4620" w:rsidRPr="00EE4620" w:rsidRDefault="00EE4620" w:rsidP="006D574F">
      <w:pPr>
        <w:numPr>
          <w:ilvl w:val="0"/>
          <w:numId w:val="3"/>
        </w:numPr>
        <w:spacing w:before="120" w:after="360" w:line="240" w:lineRule="auto"/>
        <w:ind w:left="567" w:hanging="567"/>
        <w:contextualSpacing/>
        <w:rPr>
          <w:rFonts w:ascii="Arial" w:eastAsia="Times New Roman" w:hAnsi="Arial" w:cs="Arial"/>
          <w:szCs w:val="20"/>
          <w:lang w:eastAsia="en-GB"/>
        </w:rPr>
      </w:pPr>
      <w:r w:rsidRPr="00EE4620">
        <w:rPr>
          <w:rFonts w:ascii="Arial" w:eastAsia="Times New Roman" w:hAnsi="Arial" w:cs="Arial"/>
          <w:b/>
          <w:szCs w:val="20"/>
          <w:lang w:eastAsia="en-GB"/>
        </w:rPr>
        <w:t>Officers</w:t>
      </w:r>
      <w:r w:rsidRPr="00EE4620">
        <w:rPr>
          <w:rFonts w:ascii="Arial" w:eastAsia="Times New Roman" w:hAnsi="Arial" w:cs="Arial"/>
          <w:szCs w:val="20"/>
          <w:lang w:eastAsia="en-GB"/>
        </w:rPr>
        <w:t xml:space="preserve"> are most likely to engage with the LGA by responding to LGA consultations (</w:t>
      </w:r>
      <w:r w:rsidRPr="00EE4620">
        <w:rPr>
          <w:rFonts w:ascii="Arial" w:eastAsia="Times New Roman" w:hAnsi="Arial" w:cs="Arial"/>
          <w:b/>
          <w:szCs w:val="20"/>
          <w:lang w:eastAsia="en-GB"/>
        </w:rPr>
        <w:t>66 per cent</w:t>
      </w:r>
      <w:r w:rsidRPr="00EE4620">
        <w:rPr>
          <w:rFonts w:ascii="Arial" w:eastAsia="Times New Roman" w:hAnsi="Arial" w:cs="Arial"/>
          <w:szCs w:val="20"/>
          <w:lang w:eastAsia="en-GB"/>
        </w:rPr>
        <w:t>), attending LGA events (</w:t>
      </w:r>
      <w:r w:rsidRPr="00EE4620">
        <w:rPr>
          <w:rFonts w:ascii="Arial" w:eastAsia="Times New Roman" w:hAnsi="Arial" w:cs="Arial"/>
          <w:b/>
          <w:szCs w:val="20"/>
          <w:lang w:eastAsia="en-GB"/>
        </w:rPr>
        <w:t>66 per cent</w:t>
      </w:r>
      <w:r w:rsidRPr="00EE4620">
        <w:rPr>
          <w:rFonts w:ascii="Arial" w:eastAsia="Times New Roman" w:hAnsi="Arial" w:cs="Arial"/>
          <w:szCs w:val="20"/>
          <w:lang w:eastAsia="en-GB"/>
        </w:rPr>
        <w:t>), contributing to LGA meetings/seminars (</w:t>
      </w:r>
      <w:r w:rsidRPr="00EE4620">
        <w:rPr>
          <w:rFonts w:ascii="Arial" w:eastAsia="Times New Roman" w:hAnsi="Arial" w:cs="Arial"/>
          <w:b/>
          <w:szCs w:val="20"/>
          <w:lang w:eastAsia="en-GB"/>
        </w:rPr>
        <w:t>56 per cent</w:t>
      </w:r>
      <w:r w:rsidRPr="00EE4620">
        <w:rPr>
          <w:rFonts w:ascii="Arial" w:eastAsia="Times New Roman" w:hAnsi="Arial" w:cs="Arial"/>
          <w:szCs w:val="20"/>
          <w:lang w:eastAsia="en-GB"/>
        </w:rPr>
        <w:t>), contacting LGA officers by email or phone (</w:t>
      </w:r>
      <w:r w:rsidRPr="00EE4620">
        <w:rPr>
          <w:rFonts w:ascii="Arial" w:eastAsia="Times New Roman" w:hAnsi="Arial" w:cs="Arial"/>
          <w:b/>
          <w:szCs w:val="20"/>
          <w:lang w:eastAsia="en-GB"/>
        </w:rPr>
        <w:t>54 per cent</w:t>
      </w:r>
      <w:r w:rsidRPr="00EE4620">
        <w:rPr>
          <w:rFonts w:ascii="Arial" w:eastAsia="Times New Roman" w:hAnsi="Arial" w:cs="Arial"/>
          <w:szCs w:val="20"/>
          <w:lang w:eastAsia="en-GB"/>
        </w:rPr>
        <w:t>), when contacted by LGA officers or in their role as an advisor (</w:t>
      </w:r>
      <w:r w:rsidRPr="00EE4620">
        <w:rPr>
          <w:rFonts w:ascii="Arial" w:eastAsia="Times New Roman" w:hAnsi="Arial" w:cs="Arial"/>
          <w:b/>
          <w:szCs w:val="20"/>
          <w:lang w:eastAsia="en-GB"/>
        </w:rPr>
        <w:t>39 per cent</w:t>
      </w:r>
      <w:r w:rsidRPr="00EE4620">
        <w:rPr>
          <w:rFonts w:ascii="Arial" w:eastAsia="Times New Roman" w:hAnsi="Arial" w:cs="Arial"/>
          <w:szCs w:val="20"/>
          <w:lang w:eastAsia="en-GB"/>
        </w:rPr>
        <w:t>), face-to-face (</w:t>
      </w:r>
      <w:r w:rsidRPr="00EE4620">
        <w:rPr>
          <w:rFonts w:ascii="Arial" w:eastAsia="Times New Roman" w:hAnsi="Arial" w:cs="Arial"/>
          <w:b/>
          <w:szCs w:val="20"/>
          <w:lang w:eastAsia="en-GB"/>
        </w:rPr>
        <w:t>38 per cent</w:t>
      </w:r>
      <w:r w:rsidRPr="00EE4620">
        <w:rPr>
          <w:rFonts w:ascii="Arial" w:eastAsia="Times New Roman" w:hAnsi="Arial" w:cs="Arial"/>
          <w:szCs w:val="20"/>
          <w:lang w:eastAsia="en-GB"/>
        </w:rPr>
        <w:t>), acting as an LGA peer or supporting LGA development programme (</w:t>
      </w:r>
      <w:r w:rsidRPr="00EE4620">
        <w:rPr>
          <w:rFonts w:ascii="Arial" w:eastAsia="Times New Roman" w:hAnsi="Arial" w:cs="Arial"/>
          <w:b/>
          <w:szCs w:val="20"/>
          <w:lang w:eastAsia="en-GB"/>
        </w:rPr>
        <w:t>26 per cent</w:t>
      </w:r>
      <w:r w:rsidRPr="00EE4620">
        <w:rPr>
          <w:rFonts w:ascii="Arial" w:eastAsia="Times New Roman" w:hAnsi="Arial" w:cs="Arial"/>
          <w:szCs w:val="20"/>
          <w:lang w:eastAsia="en-GB"/>
        </w:rPr>
        <w:t>).</w:t>
      </w:r>
    </w:p>
    <w:p w14:paraId="18907C3F" w14:textId="77777777" w:rsidR="00EE4620" w:rsidRPr="00EE4620" w:rsidRDefault="00EE4620" w:rsidP="00EE4620">
      <w:pPr>
        <w:spacing w:after="0" w:line="240" w:lineRule="auto"/>
        <w:rPr>
          <w:rFonts w:ascii="Arial" w:eastAsia="Times New Roman" w:hAnsi="Arial" w:cs="Arial"/>
          <w:b/>
          <w:lang w:eastAsia="en-GB"/>
        </w:rPr>
      </w:pPr>
    </w:p>
    <w:p w14:paraId="18907C40" w14:textId="77777777" w:rsidR="00EE4620" w:rsidRDefault="00EE4620" w:rsidP="00EE4620">
      <w:pPr>
        <w:spacing w:after="0" w:line="240" w:lineRule="auto"/>
        <w:rPr>
          <w:rFonts w:ascii="Arial" w:eastAsia="Times New Roman" w:hAnsi="Arial" w:cs="Arial"/>
          <w:b/>
          <w:lang w:eastAsia="en-GB"/>
        </w:rPr>
      </w:pPr>
      <w:r>
        <w:rPr>
          <w:rFonts w:ascii="Arial" w:eastAsia="Times New Roman" w:hAnsi="Arial" w:cs="Arial"/>
          <w:b/>
          <w:lang w:eastAsia="en-GB"/>
        </w:rPr>
        <w:br w:type="page"/>
      </w:r>
    </w:p>
    <w:p w14:paraId="18907C41" w14:textId="77777777" w:rsidR="00EE4620" w:rsidRPr="00EE4620" w:rsidRDefault="00EE4620" w:rsidP="00EE4620">
      <w:pPr>
        <w:spacing w:after="0" w:line="240" w:lineRule="auto"/>
        <w:rPr>
          <w:rFonts w:ascii="Arial" w:eastAsia="Times New Roman" w:hAnsi="Arial" w:cs="Arial"/>
          <w:b/>
          <w:lang w:eastAsia="en-GB"/>
        </w:rPr>
      </w:pPr>
      <w:r w:rsidRPr="00EE4620">
        <w:rPr>
          <w:rFonts w:ascii="Arial" w:eastAsia="Times New Roman" w:hAnsi="Arial" w:cs="Arial"/>
          <w:b/>
          <w:lang w:eastAsia="en-GB"/>
        </w:rPr>
        <w:lastRenderedPageBreak/>
        <w:t>Sector-led improvement</w:t>
      </w:r>
    </w:p>
    <w:p w14:paraId="18907C42" w14:textId="77777777" w:rsidR="00EE4620" w:rsidRPr="00EE4620" w:rsidRDefault="00EE4620" w:rsidP="00EE4620">
      <w:pPr>
        <w:spacing w:after="0" w:line="240" w:lineRule="auto"/>
        <w:rPr>
          <w:rFonts w:ascii="Arial" w:eastAsia="Times New Roman" w:hAnsi="Arial" w:cs="Arial"/>
          <w:lang w:eastAsia="en-GB"/>
        </w:rPr>
      </w:pPr>
    </w:p>
    <w:p w14:paraId="18907C43" w14:textId="47A1BCA4" w:rsidR="00EE4620" w:rsidRPr="00EE4620" w:rsidRDefault="00EE4620" w:rsidP="00A3083C">
      <w:pPr>
        <w:numPr>
          <w:ilvl w:val="0"/>
          <w:numId w:val="3"/>
        </w:numPr>
        <w:spacing w:before="120" w:after="360" w:line="240" w:lineRule="auto"/>
        <w:ind w:left="567" w:hanging="567"/>
        <w:contextualSpacing/>
        <w:rPr>
          <w:rFonts w:ascii="Arial" w:eastAsia="Times New Roman" w:hAnsi="Arial" w:cs="Arial"/>
          <w:lang w:eastAsia="en-GB"/>
        </w:rPr>
      </w:pPr>
      <w:r w:rsidRPr="00A3083C">
        <w:rPr>
          <w:rFonts w:ascii="Arial" w:eastAsia="Times New Roman" w:hAnsi="Arial" w:cs="Arial"/>
          <w:b/>
          <w:szCs w:val="20"/>
          <w:lang w:eastAsia="en-GB"/>
        </w:rPr>
        <w:t>Sector</w:t>
      </w:r>
      <w:r w:rsidRPr="00EE4620">
        <w:rPr>
          <w:rFonts w:ascii="Arial" w:eastAsia="Times New Roman" w:hAnsi="Arial" w:cs="Arial"/>
          <w:lang w:eastAsia="en-GB"/>
        </w:rPr>
        <w:t xml:space="preserve">-led improvement continues to be seen as the right approach to continuous improvement.  </w:t>
      </w:r>
      <w:r w:rsidRPr="00EE4620">
        <w:rPr>
          <w:rFonts w:ascii="Arial" w:eastAsia="Times New Roman" w:hAnsi="Arial" w:cs="Arial"/>
          <w:b/>
          <w:lang w:eastAsia="en-GB"/>
        </w:rPr>
        <w:t xml:space="preserve">Sixty two per cent </w:t>
      </w:r>
      <w:r w:rsidRPr="00EE4620">
        <w:rPr>
          <w:rFonts w:ascii="Arial" w:eastAsia="Times New Roman" w:hAnsi="Arial" w:cs="Arial"/>
          <w:lang w:eastAsia="en-GB"/>
        </w:rPr>
        <w:t>agree that the approach to sector-led improvement is the right approach in the current context.  This is a slightly higher proportion than in 2012 (58 per cent).</w:t>
      </w:r>
    </w:p>
    <w:p w14:paraId="18907C44" w14:textId="77777777" w:rsidR="00EE4620" w:rsidRPr="00EE4620" w:rsidRDefault="00EE4620" w:rsidP="00EE4620">
      <w:pPr>
        <w:spacing w:after="0" w:line="240" w:lineRule="auto"/>
        <w:rPr>
          <w:rFonts w:ascii="Arial" w:eastAsia="Times New Roman" w:hAnsi="Arial" w:cs="Arial"/>
          <w:lang w:eastAsia="en-GB"/>
        </w:rPr>
      </w:pPr>
    </w:p>
    <w:p w14:paraId="18907C45" w14:textId="5C38DA5E" w:rsidR="00EE4620" w:rsidRPr="00EE4620" w:rsidRDefault="00EE4620" w:rsidP="00A3083C">
      <w:pPr>
        <w:numPr>
          <w:ilvl w:val="0"/>
          <w:numId w:val="3"/>
        </w:numPr>
        <w:spacing w:before="120" w:after="360" w:line="240" w:lineRule="auto"/>
        <w:ind w:left="567" w:hanging="567"/>
        <w:contextualSpacing/>
        <w:rPr>
          <w:rFonts w:ascii="Arial" w:eastAsia="Times New Roman" w:hAnsi="Arial" w:cs="Arial"/>
          <w:lang w:eastAsia="en-GB"/>
        </w:rPr>
      </w:pPr>
      <w:r w:rsidRPr="00EE4620">
        <w:rPr>
          <w:rFonts w:ascii="Arial" w:eastAsia="Times New Roman" w:hAnsi="Arial" w:cs="Arial"/>
          <w:b/>
          <w:lang w:eastAsia="en-GB"/>
        </w:rPr>
        <w:t>Eighty eight per cent</w:t>
      </w:r>
      <w:r w:rsidRPr="00EE4620">
        <w:rPr>
          <w:rFonts w:ascii="Arial" w:eastAsia="Times New Roman" w:hAnsi="Arial" w:cs="Arial"/>
          <w:lang w:eastAsia="en-GB"/>
        </w:rPr>
        <w:t xml:space="preserve"> agree that their authorit</w:t>
      </w:r>
      <w:r w:rsidR="00A3083C">
        <w:rPr>
          <w:rFonts w:ascii="Arial" w:eastAsia="Times New Roman" w:hAnsi="Arial" w:cs="Arial"/>
          <w:lang w:eastAsia="en-GB"/>
        </w:rPr>
        <w:t xml:space="preserve">y is making advances in driving </w:t>
      </w:r>
      <w:r w:rsidRPr="00EE4620">
        <w:rPr>
          <w:rFonts w:ascii="Arial" w:eastAsia="Times New Roman" w:hAnsi="Arial" w:cs="Arial"/>
          <w:lang w:eastAsia="en-GB"/>
        </w:rPr>
        <w:t xml:space="preserve">improvement.  This is a higher </w:t>
      </w:r>
      <w:r w:rsidRPr="00A3083C">
        <w:rPr>
          <w:rFonts w:ascii="Arial" w:eastAsia="Times New Roman" w:hAnsi="Arial" w:cs="Arial"/>
          <w:szCs w:val="20"/>
          <w:lang w:eastAsia="en-GB"/>
        </w:rPr>
        <w:t>proportion</w:t>
      </w:r>
      <w:r w:rsidRPr="00EE4620">
        <w:rPr>
          <w:rFonts w:ascii="Arial" w:eastAsia="Times New Roman" w:hAnsi="Arial" w:cs="Arial"/>
          <w:lang w:eastAsia="en-GB"/>
        </w:rPr>
        <w:t xml:space="preserve"> than that reported in 2012 (83 per cent).</w:t>
      </w:r>
    </w:p>
    <w:p w14:paraId="18907C46" w14:textId="77777777" w:rsidR="00EE4620" w:rsidRPr="00EE4620" w:rsidRDefault="00EE4620" w:rsidP="00EE4620">
      <w:pPr>
        <w:spacing w:after="0" w:line="240" w:lineRule="auto"/>
        <w:rPr>
          <w:rFonts w:ascii="Arial" w:eastAsia="Times New Roman" w:hAnsi="Arial" w:cs="Arial"/>
          <w:lang w:eastAsia="en-GB"/>
        </w:rPr>
      </w:pPr>
    </w:p>
    <w:p w14:paraId="18907C47" w14:textId="71893A12" w:rsidR="00EE4620" w:rsidRPr="00EE4620" w:rsidRDefault="00A3083C" w:rsidP="00A3083C">
      <w:pPr>
        <w:numPr>
          <w:ilvl w:val="0"/>
          <w:numId w:val="3"/>
        </w:numPr>
        <w:spacing w:before="120" w:after="360" w:line="240" w:lineRule="auto"/>
        <w:ind w:left="567" w:hanging="567"/>
        <w:contextualSpacing/>
        <w:rPr>
          <w:rFonts w:ascii="Arial" w:eastAsia="Times New Roman" w:hAnsi="Arial" w:cs="Arial"/>
          <w:lang w:eastAsia="en-GB"/>
        </w:rPr>
      </w:pPr>
      <w:r w:rsidRPr="00EE4620">
        <w:rPr>
          <w:rFonts w:ascii="Arial" w:eastAsia="Times New Roman" w:hAnsi="Arial" w:cs="Arial"/>
          <w:lang w:eastAsia="en-GB"/>
        </w:rPr>
        <w:t xml:space="preserve"> </w:t>
      </w:r>
      <w:r w:rsidR="00EE4620" w:rsidRPr="00EE4620">
        <w:rPr>
          <w:rFonts w:ascii="Arial" w:eastAsia="Times New Roman" w:hAnsi="Arial" w:cs="Arial"/>
          <w:lang w:eastAsia="en-GB"/>
        </w:rPr>
        <w:t xml:space="preserve">The </w:t>
      </w:r>
      <w:r w:rsidR="00EE4620" w:rsidRPr="00A3083C">
        <w:rPr>
          <w:rFonts w:ascii="Arial" w:eastAsia="Times New Roman" w:hAnsi="Arial" w:cs="Arial"/>
          <w:szCs w:val="20"/>
          <w:lang w:eastAsia="en-GB"/>
        </w:rPr>
        <w:t>proportion</w:t>
      </w:r>
      <w:r w:rsidR="00EE4620" w:rsidRPr="00EE4620">
        <w:rPr>
          <w:rFonts w:ascii="Arial" w:eastAsia="Times New Roman" w:hAnsi="Arial" w:cs="Arial"/>
          <w:lang w:eastAsia="en-GB"/>
        </w:rPr>
        <w:t xml:space="preserve"> of respondents who agree that loc</w:t>
      </w:r>
      <w:r>
        <w:rPr>
          <w:rFonts w:ascii="Arial" w:eastAsia="Times New Roman" w:hAnsi="Arial" w:cs="Arial"/>
          <w:lang w:eastAsia="en-GB"/>
        </w:rPr>
        <w:t xml:space="preserve">al accountability is strong in </w:t>
      </w:r>
      <w:r w:rsidR="00EE4620" w:rsidRPr="00EE4620">
        <w:rPr>
          <w:rFonts w:ascii="Arial" w:eastAsia="Times New Roman" w:hAnsi="Arial" w:cs="Arial"/>
          <w:lang w:eastAsia="en-GB"/>
        </w:rPr>
        <w:t>their authority is similar (</w:t>
      </w:r>
      <w:r w:rsidR="00EE4620" w:rsidRPr="00EE4620">
        <w:rPr>
          <w:rFonts w:ascii="Arial" w:eastAsia="Times New Roman" w:hAnsi="Arial" w:cs="Arial"/>
          <w:b/>
          <w:lang w:eastAsia="en-GB"/>
        </w:rPr>
        <w:t>85 per cent</w:t>
      </w:r>
      <w:r w:rsidR="00EE4620" w:rsidRPr="00EE4620">
        <w:rPr>
          <w:rFonts w:ascii="Arial" w:eastAsia="Times New Roman" w:hAnsi="Arial" w:cs="Arial"/>
          <w:lang w:eastAsia="en-GB"/>
        </w:rPr>
        <w:t>) to 2012 (83 per cent).</w:t>
      </w:r>
    </w:p>
    <w:p w14:paraId="18907C48" w14:textId="77777777" w:rsidR="00EE4620" w:rsidRPr="00EE4620" w:rsidRDefault="00EE4620" w:rsidP="00EE4620">
      <w:pPr>
        <w:spacing w:after="0" w:line="240" w:lineRule="auto"/>
        <w:rPr>
          <w:rFonts w:ascii="Arial" w:eastAsia="Times New Roman" w:hAnsi="Arial" w:cs="Arial"/>
          <w:lang w:eastAsia="en-GB"/>
        </w:rPr>
      </w:pPr>
    </w:p>
    <w:p w14:paraId="18907C49" w14:textId="34021DD5" w:rsidR="00EE4620" w:rsidRPr="00EE4620" w:rsidRDefault="00EE4620" w:rsidP="00A3083C">
      <w:pPr>
        <w:numPr>
          <w:ilvl w:val="0"/>
          <w:numId w:val="3"/>
        </w:numPr>
        <w:spacing w:before="120" w:after="360" w:line="240" w:lineRule="auto"/>
        <w:ind w:left="567" w:hanging="567"/>
        <w:contextualSpacing/>
        <w:rPr>
          <w:rFonts w:ascii="Arial" w:eastAsia="Times New Roman" w:hAnsi="Arial" w:cs="Arial"/>
          <w:lang w:eastAsia="en-GB"/>
        </w:rPr>
      </w:pPr>
      <w:r w:rsidRPr="00EE4620">
        <w:rPr>
          <w:rFonts w:ascii="Arial" w:eastAsia="Times New Roman" w:hAnsi="Arial" w:cs="Arial"/>
          <w:lang w:eastAsia="en-GB"/>
        </w:rPr>
        <w:t>There continues to be variations in awareness of our sector-led improvement offer.  Nearly half of respondents (</w:t>
      </w:r>
      <w:r w:rsidRPr="00EE4620">
        <w:rPr>
          <w:rFonts w:ascii="Arial" w:eastAsia="Times New Roman" w:hAnsi="Arial" w:cs="Arial"/>
          <w:b/>
          <w:lang w:eastAsia="en-GB"/>
        </w:rPr>
        <w:t>44 per cent</w:t>
      </w:r>
      <w:r w:rsidRPr="00EE4620">
        <w:rPr>
          <w:rFonts w:ascii="Arial" w:eastAsia="Times New Roman" w:hAnsi="Arial" w:cs="Arial"/>
          <w:lang w:eastAsia="en-GB"/>
        </w:rPr>
        <w:t xml:space="preserve">) have ‘heard a lot’ or ‘a moderate’ amount about sector-led improvement.  This shows a slight </w:t>
      </w:r>
      <w:r w:rsidRPr="00EE4620">
        <w:rPr>
          <w:rFonts w:ascii="Arial" w:eastAsia="Times New Roman" w:hAnsi="Arial" w:cs="Arial"/>
          <w:lang w:eastAsia="en-GB"/>
        </w:rPr>
        <w:tab/>
        <w:t>increase on 2012 (41 per cent).</w:t>
      </w:r>
    </w:p>
    <w:p w14:paraId="18907C4A" w14:textId="77777777" w:rsidR="00EE4620" w:rsidRPr="00EE4620" w:rsidRDefault="00EE4620" w:rsidP="00EE4620">
      <w:pPr>
        <w:spacing w:after="0" w:line="240" w:lineRule="auto"/>
        <w:rPr>
          <w:rFonts w:ascii="Arial" w:eastAsia="Times New Roman" w:hAnsi="Arial" w:cs="Arial"/>
          <w:b/>
          <w:szCs w:val="20"/>
          <w:lang w:eastAsia="en-GB"/>
        </w:rPr>
      </w:pPr>
    </w:p>
    <w:p w14:paraId="18907C4B" w14:textId="631ABA87" w:rsidR="00EE4620" w:rsidRPr="00EE4620" w:rsidRDefault="00EE4620" w:rsidP="00A3083C">
      <w:pPr>
        <w:numPr>
          <w:ilvl w:val="0"/>
          <w:numId w:val="3"/>
        </w:numPr>
        <w:spacing w:before="120" w:after="360" w:line="240" w:lineRule="auto"/>
        <w:ind w:left="567" w:hanging="567"/>
        <w:contextualSpacing/>
        <w:rPr>
          <w:rFonts w:ascii="Arial" w:eastAsia="Times New Roman" w:hAnsi="Arial" w:cs="Arial"/>
          <w:szCs w:val="20"/>
          <w:lang w:eastAsia="en-GB"/>
        </w:rPr>
      </w:pPr>
      <w:r w:rsidRPr="00EE4620">
        <w:rPr>
          <w:rFonts w:ascii="Arial" w:eastAsia="Times New Roman" w:hAnsi="Arial" w:cs="Arial"/>
          <w:b/>
          <w:szCs w:val="20"/>
          <w:lang w:eastAsia="en-GB"/>
        </w:rPr>
        <w:t>Officers</w:t>
      </w:r>
      <w:r w:rsidRPr="00EE4620">
        <w:rPr>
          <w:rFonts w:ascii="Arial" w:eastAsia="Times New Roman" w:hAnsi="Arial" w:cs="Arial"/>
          <w:szCs w:val="20"/>
          <w:lang w:eastAsia="en-GB"/>
        </w:rPr>
        <w:t xml:space="preserve"> are </w:t>
      </w:r>
      <w:r w:rsidRPr="00A3083C">
        <w:rPr>
          <w:rFonts w:ascii="Arial" w:eastAsia="Times New Roman" w:hAnsi="Arial" w:cs="Arial"/>
          <w:lang w:eastAsia="en-GB"/>
        </w:rPr>
        <w:t>significantly</w:t>
      </w:r>
      <w:r w:rsidRPr="00EE4620">
        <w:rPr>
          <w:rFonts w:ascii="Arial" w:eastAsia="Times New Roman" w:hAnsi="Arial" w:cs="Arial"/>
          <w:szCs w:val="20"/>
          <w:lang w:eastAsia="en-GB"/>
        </w:rPr>
        <w:t xml:space="preserve"> more likely to be aware of sector-led improvement than </w:t>
      </w:r>
      <w:r w:rsidRPr="00EE4620">
        <w:rPr>
          <w:rFonts w:ascii="Arial" w:eastAsia="Times New Roman" w:hAnsi="Arial" w:cs="Arial"/>
          <w:b/>
          <w:szCs w:val="20"/>
          <w:lang w:eastAsia="en-GB"/>
        </w:rPr>
        <w:t xml:space="preserve">frontbench </w:t>
      </w:r>
      <w:r w:rsidRPr="00EE4620">
        <w:rPr>
          <w:rFonts w:ascii="Arial" w:eastAsia="Times New Roman" w:hAnsi="Arial" w:cs="Arial"/>
          <w:szCs w:val="20"/>
          <w:lang w:eastAsia="en-GB"/>
        </w:rPr>
        <w:t xml:space="preserve">and </w:t>
      </w:r>
      <w:r w:rsidRPr="00EE4620">
        <w:rPr>
          <w:rFonts w:ascii="Arial" w:eastAsia="Times New Roman" w:hAnsi="Arial" w:cs="Arial"/>
          <w:b/>
          <w:szCs w:val="20"/>
          <w:lang w:eastAsia="en-GB"/>
        </w:rPr>
        <w:t>backbench</w:t>
      </w:r>
      <w:r w:rsidRPr="00EE4620">
        <w:rPr>
          <w:rFonts w:ascii="Arial" w:eastAsia="Times New Roman" w:hAnsi="Arial" w:cs="Arial"/>
          <w:szCs w:val="20"/>
          <w:lang w:eastAsia="en-GB"/>
        </w:rPr>
        <w:t xml:space="preserve"> </w:t>
      </w:r>
      <w:r w:rsidRPr="00EE4620">
        <w:rPr>
          <w:rFonts w:ascii="Arial" w:eastAsia="Times New Roman" w:hAnsi="Arial" w:cs="Arial"/>
          <w:b/>
          <w:szCs w:val="20"/>
          <w:lang w:eastAsia="en-GB"/>
        </w:rPr>
        <w:t>councillors</w:t>
      </w:r>
      <w:r w:rsidRPr="00EE4620">
        <w:rPr>
          <w:rFonts w:ascii="Arial" w:eastAsia="Times New Roman" w:hAnsi="Arial" w:cs="Arial"/>
          <w:szCs w:val="20"/>
          <w:lang w:eastAsia="en-GB"/>
        </w:rPr>
        <w:t xml:space="preserve"> (</w:t>
      </w:r>
      <w:r w:rsidRPr="00EE4620">
        <w:rPr>
          <w:rFonts w:ascii="Arial" w:eastAsia="Times New Roman" w:hAnsi="Arial" w:cs="Arial"/>
          <w:b/>
          <w:szCs w:val="20"/>
          <w:lang w:eastAsia="en-GB"/>
        </w:rPr>
        <w:t>32 per cent</w:t>
      </w:r>
      <w:r w:rsidRPr="00EE4620">
        <w:rPr>
          <w:rFonts w:ascii="Arial" w:eastAsia="Times New Roman" w:hAnsi="Arial" w:cs="Arial"/>
          <w:szCs w:val="20"/>
          <w:lang w:eastAsia="en-GB"/>
        </w:rPr>
        <w:t xml:space="preserve"> compared with 11 per cent and 6 per cent respectively).</w:t>
      </w:r>
    </w:p>
    <w:p w14:paraId="18907C4C" w14:textId="77777777" w:rsidR="00EE4620" w:rsidRPr="00EE4620" w:rsidRDefault="00EE4620" w:rsidP="00EE4620">
      <w:pPr>
        <w:spacing w:after="0" w:line="240" w:lineRule="auto"/>
        <w:rPr>
          <w:rFonts w:ascii="Arial" w:eastAsia="Times New Roman" w:hAnsi="Arial" w:cs="Arial"/>
          <w:szCs w:val="20"/>
          <w:lang w:eastAsia="en-GB"/>
        </w:rPr>
      </w:pPr>
    </w:p>
    <w:p w14:paraId="18907C4D" w14:textId="0DC06C6F" w:rsidR="00EE4620" w:rsidRPr="00EE4620" w:rsidRDefault="00EE4620" w:rsidP="00A3083C">
      <w:pPr>
        <w:numPr>
          <w:ilvl w:val="0"/>
          <w:numId w:val="3"/>
        </w:numPr>
        <w:spacing w:before="120" w:after="360" w:line="240" w:lineRule="auto"/>
        <w:ind w:left="567" w:hanging="567"/>
        <w:contextualSpacing/>
        <w:rPr>
          <w:rFonts w:ascii="Arial" w:eastAsia="Times New Roman" w:hAnsi="Arial" w:cs="Arial"/>
          <w:szCs w:val="20"/>
          <w:lang w:eastAsia="en-GB"/>
        </w:rPr>
      </w:pPr>
      <w:r w:rsidRPr="00EE4620">
        <w:rPr>
          <w:rFonts w:ascii="Arial" w:eastAsia="Times New Roman" w:hAnsi="Arial" w:cs="Arial"/>
          <w:szCs w:val="20"/>
          <w:lang w:eastAsia="en-GB"/>
        </w:rPr>
        <w:t>The proportion of</w:t>
      </w:r>
      <w:r w:rsidRPr="00EE4620">
        <w:rPr>
          <w:rFonts w:ascii="Arial" w:eastAsia="Times New Roman" w:hAnsi="Arial" w:cs="Arial"/>
          <w:b/>
          <w:szCs w:val="20"/>
          <w:lang w:eastAsia="en-GB"/>
        </w:rPr>
        <w:t xml:space="preserve"> chief executives</w:t>
      </w:r>
      <w:r w:rsidRPr="00EE4620">
        <w:rPr>
          <w:rFonts w:ascii="Arial" w:eastAsia="Times New Roman" w:hAnsi="Arial" w:cs="Arial"/>
          <w:szCs w:val="20"/>
          <w:lang w:eastAsia="en-GB"/>
        </w:rPr>
        <w:t xml:space="preserve"> that have</w:t>
      </w:r>
      <w:r w:rsidR="00A3083C">
        <w:rPr>
          <w:rFonts w:ascii="Arial" w:eastAsia="Times New Roman" w:hAnsi="Arial" w:cs="Arial"/>
          <w:szCs w:val="20"/>
          <w:lang w:eastAsia="en-GB"/>
        </w:rPr>
        <w:t xml:space="preserve"> ‘heard a lot’ about sector-led </w:t>
      </w:r>
      <w:r w:rsidRPr="00A3083C">
        <w:rPr>
          <w:rFonts w:ascii="Arial" w:eastAsia="Times New Roman" w:hAnsi="Arial" w:cs="Arial"/>
          <w:lang w:eastAsia="en-GB"/>
        </w:rPr>
        <w:t>improvement</w:t>
      </w:r>
      <w:r w:rsidRPr="00EE4620">
        <w:rPr>
          <w:rFonts w:ascii="Arial" w:eastAsia="Times New Roman" w:hAnsi="Arial" w:cs="Arial"/>
          <w:szCs w:val="20"/>
          <w:lang w:eastAsia="en-GB"/>
        </w:rPr>
        <w:t xml:space="preserve"> is significantly higher than average (</w:t>
      </w:r>
      <w:r w:rsidRPr="00EE4620">
        <w:rPr>
          <w:rFonts w:ascii="Arial" w:eastAsia="Times New Roman" w:hAnsi="Arial" w:cs="Arial"/>
          <w:b/>
          <w:szCs w:val="20"/>
          <w:lang w:eastAsia="en-GB"/>
        </w:rPr>
        <w:t>61 per cent</w:t>
      </w:r>
      <w:r w:rsidRPr="00EE4620">
        <w:rPr>
          <w:rFonts w:ascii="Arial" w:eastAsia="Times New Roman" w:hAnsi="Arial" w:cs="Arial"/>
          <w:szCs w:val="20"/>
          <w:lang w:eastAsia="en-GB"/>
        </w:rPr>
        <w:t>).</w:t>
      </w:r>
    </w:p>
    <w:p w14:paraId="18907C4E" w14:textId="77777777" w:rsidR="00EE4620" w:rsidRPr="00EE4620" w:rsidRDefault="00EE4620" w:rsidP="00EE4620">
      <w:pPr>
        <w:spacing w:after="0" w:line="240" w:lineRule="auto"/>
        <w:rPr>
          <w:rFonts w:ascii="Arial" w:eastAsia="Times New Roman" w:hAnsi="Arial" w:cs="Arial"/>
          <w:szCs w:val="20"/>
          <w:lang w:eastAsia="en-GB"/>
        </w:rPr>
      </w:pPr>
    </w:p>
    <w:p w14:paraId="18907C4F" w14:textId="436073C2" w:rsidR="00EE4620" w:rsidRPr="00EE4620" w:rsidRDefault="00EE4620" w:rsidP="00A3083C">
      <w:pPr>
        <w:numPr>
          <w:ilvl w:val="0"/>
          <w:numId w:val="3"/>
        </w:numPr>
        <w:spacing w:before="120" w:after="360" w:line="240" w:lineRule="auto"/>
        <w:ind w:left="567" w:hanging="567"/>
        <w:contextualSpacing/>
        <w:rPr>
          <w:rFonts w:ascii="Arial" w:eastAsia="Times New Roman" w:hAnsi="Arial" w:cs="Arial"/>
          <w:szCs w:val="20"/>
          <w:lang w:eastAsia="en-GB"/>
        </w:rPr>
      </w:pPr>
      <w:r w:rsidRPr="00A3083C">
        <w:rPr>
          <w:rFonts w:ascii="Arial" w:eastAsia="Times New Roman" w:hAnsi="Arial" w:cs="Arial"/>
          <w:lang w:eastAsia="en-GB"/>
        </w:rPr>
        <w:t>Those</w:t>
      </w:r>
      <w:r w:rsidRPr="00EE4620">
        <w:rPr>
          <w:rFonts w:ascii="Arial" w:eastAsia="Times New Roman" w:hAnsi="Arial" w:cs="Arial"/>
          <w:szCs w:val="20"/>
          <w:lang w:eastAsia="en-GB"/>
        </w:rPr>
        <w:t xml:space="preserve"> in the </w:t>
      </w:r>
      <w:r w:rsidRPr="00EE4620">
        <w:rPr>
          <w:rFonts w:ascii="Arial" w:eastAsia="Times New Roman" w:hAnsi="Arial" w:cs="Arial"/>
          <w:b/>
          <w:szCs w:val="20"/>
          <w:lang w:eastAsia="en-GB"/>
        </w:rPr>
        <w:t>South East</w:t>
      </w:r>
      <w:r w:rsidRPr="00EE4620">
        <w:rPr>
          <w:rFonts w:ascii="Arial" w:eastAsia="Times New Roman" w:hAnsi="Arial" w:cs="Arial"/>
          <w:szCs w:val="20"/>
          <w:lang w:eastAsia="en-GB"/>
        </w:rPr>
        <w:t xml:space="preserve"> are most likely to have heard ‘a little/nothing’ (</w:t>
      </w:r>
      <w:r w:rsidRPr="00EE4620">
        <w:rPr>
          <w:rFonts w:ascii="Arial" w:eastAsia="Times New Roman" w:hAnsi="Arial" w:cs="Arial"/>
          <w:b/>
          <w:szCs w:val="20"/>
          <w:lang w:eastAsia="en-GB"/>
        </w:rPr>
        <w:t>64 per cent</w:t>
      </w:r>
      <w:r w:rsidRPr="00EE4620">
        <w:rPr>
          <w:rFonts w:ascii="Arial" w:eastAsia="Times New Roman" w:hAnsi="Arial" w:cs="Arial"/>
          <w:szCs w:val="20"/>
          <w:lang w:eastAsia="en-GB"/>
        </w:rPr>
        <w:t xml:space="preserve">) about sector-led improvement.  </w:t>
      </w:r>
    </w:p>
    <w:p w14:paraId="18907C50" w14:textId="77777777" w:rsidR="00EE4620" w:rsidRPr="00EE4620" w:rsidRDefault="00EE4620" w:rsidP="00EE4620">
      <w:pPr>
        <w:spacing w:after="0" w:line="240" w:lineRule="auto"/>
        <w:rPr>
          <w:rFonts w:ascii="Arial" w:eastAsia="Times New Roman" w:hAnsi="Arial" w:cs="Arial"/>
          <w:b/>
          <w:lang w:eastAsia="en-GB"/>
        </w:rPr>
      </w:pPr>
    </w:p>
    <w:p w14:paraId="18907C51" w14:textId="77777777" w:rsidR="00EE4620" w:rsidRPr="00EE4620" w:rsidRDefault="00EE4620" w:rsidP="00EE4620">
      <w:pPr>
        <w:spacing w:after="0" w:line="240" w:lineRule="auto"/>
        <w:rPr>
          <w:rFonts w:ascii="Arial" w:eastAsia="Times New Roman" w:hAnsi="Arial" w:cs="Arial"/>
          <w:b/>
          <w:lang w:eastAsia="en-GB"/>
        </w:rPr>
      </w:pPr>
    </w:p>
    <w:p w14:paraId="18907C52" w14:textId="77777777" w:rsidR="00EE4620" w:rsidRPr="00EE4620" w:rsidRDefault="00EE4620" w:rsidP="00EE4620">
      <w:pPr>
        <w:spacing w:after="0" w:line="240" w:lineRule="auto"/>
        <w:rPr>
          <w:rFonts w:ascii="Arial" w:eastAsia="Times New Roman" w:hAnsi="Arial" w:cs="Arial"/>
          <w:b/>
          <w:lang w:eastAsia="en-GB"/>
        </w:rPr>
      </w:pPr>
    </w:p>
    <w:p w14:paraId="18907C53" w14:textId="77777777" w:rsidR="00EE4620" w:rsidRPr="00EE4620" w:rsidRDefault="00EE4620" w:rsidP="00EE4620">
      <w:pPr>
        <w:spacing w:after="0" w:line="240" w:lineRule="auto"/>
        <w:rPr>
          <w:rFonts w:ascii="Arial" w:eastAsia="Times New Roman" w:hAnsi="Arial" w:cs="Arial"/>
          <w:b/>
          <w:lang w:eastAsia="en-GB"/>
        </w:rPr>
      </w:pPr>
    </w:p>
    <w:p w14:paraId="18907C54" w14:textId="77777777" w:rsidR="00EE4620" w:rsidRPr="00EE4620" w:rsidRDefault="00EE4620" w:rsidP="00EE4620">
      <w:pPr>
        <w:spacing w:after="0" w:line="240" w:lineRule="auto"/>
        <w:rPr>
          <w:rFonts w:ascii="Arial" w:eastAsia="Times New Roman" w:hAnsi="Arial" w:cs="Arial"/>
          <w:b/>
          <w:lang w:eastAsia="en-GB"/>
        </w:rPr>
      </w:pPr>
    </w:p>
    <w:p w14:paraId="18907C55" w14:textId="77777777" w:rsidR="00EE4620" w:rsidRPr="00EE4620" w:rsidRDefault="00EE4620" w:rsidP="00EE4620">
      <w:pPr>
        <w:spacing w:after="0" w:line="240" w:lineRule="auto"/>
        <w:rPr>
          <w:rFonts w:ascii="Arial" w:eastAsia="Times New Roman" w:hAnsi="Arial" w:cs="Arial"/>
          <w:b/>
          <w:lang w:eastAsia="en-GB"/>
        </w:rPr>
      </w:pPr>
    </w:p>
    <w:p w14:paraId="18907C56" w14:textId="77777777" w:rsidR="00EE4620" w:rsidRPr="00EE4620" w:rsidRDefault="00EE4620" w:rsidP="00EE4620">
      <w:pPr>
        <w:spacing w:after="0" w:line="240" w:lineRule="auto"/>
        <w:rPr>
          <w:rFonts w:ascii="Arial" w:eastAsia="Times New Roman" w:hAnsi="Arial" w:cs="Arial"/>
          <w:b/>
          <w:lang w:eastAsia="en-GB"/>
        </w:rPr>
      </w:pPr>
    </w:p>
    <w:p w14:paraId="18907C57" w14:textId="77777777" w:rsidR="00EE4620" w:rsidRPr="00EE4620" w:rsidRDefault="00EE4620" w:rsidP="00EE4620">
      <w:pPr>
        <w:spacing w:after="0" w:line="240" w:lineRule="auto"/>
        <w:rPr>
          <w:rFonts w:ascii="Arial" w:eastAsia="Times New Roman" w:hAnsi="Arial" w:cs="Arial"/>
          <w:b/>
          <w:lang w:eastAsia="en-GB"/>
        </w:rPr>
      </w:pPr>
    </w:p>
    <w:p w14:paraId="18907C58" w14:textId="77777777" w:rsidR="00EE4620" w:rsidRPr="00EE4620" w:rsidRDefault="00EE4620" w:rsidP="00EE4620">
      <w:pPr>
        <w:spacing w:after="0" w:line="240" w:lineRule="auto"/>
        <w:rPr>
          <w:rFonts w:ascii="Arial" w:eastAsia="Times New Roman" w:hAnsi="Arial" w:cs="Arial"/>
          <w:b/>
          <w:lang w:eastAsia="en-GB"/>
        </w:rPr>
      </w:pPr>
    </w:p>
    <w:p w14:paraId="18907C59" w14:textId="77777777" w:rsidR="00EE4620" w:rsidRPr="00EE4620" w:rsidRDefault="00EE4620" w:rsidP="00EE4620">
      <w:pPr>
        <w:spacing w:after="0" w:line="240" w:lineRule="auto"/>
        <w:rPr>
          <w:rFonts w:ascii="Arial" w:eastAsia="Times New Roman" w:hAnsi="Arial" w:cs="Arial"/>
          <w:b/>
          <w:lang w:eastAsia="en-GB"/>
        </w:rPr>
      </w:pPr>
    </w:p>
    <w:p w14:paraId="18907C5A" w14:textId="77777777" w:rsidR="00EE4620" w:rsidRPr="00EE4620" w:rsidRDefault="00EE4620" w:rsidP="00EE4620">
      <w:pPr>
        <w:spacing w:after="0" w:line="240" w:lineRule="auto"/>
        <w:rPr>
          <w:rFonts w:ascii="Arial" w:eastAsia="Times New Roman" w:hAnsi="Arial" w:cs="Arial"/>
          <w:b/>
          <w:lang w:eastAsia="en-GB"/>
        </w:rPr>
      </w:pPr>
    </w:p>
    <w:p w14:paraId="18907C5B" w14:textId="77777777" w:rsidR="00EE4620" w:rsidRPr="00EE4620" w:rsidRDefault="00EE4620" w:rsidP="00EE4620">
      <w:pPr>
        <w:spacing w:after="0" w:line="240" w:lineRule="auto"/>
        <w:rPr>
          <w:rFonts w:ascii="Arial" w:eastAsia="Times New Roman" w:hAnsi="Arial" w:cs="Arial"/>
          <w:b/>
          <w:lang w:eastAsia="en-GB"/>
        </w:rPr>
      </w:pPr>
    </w:p>
    <w:p w14:paraId="18907C5C" w14:textId="77777777" w:rsidR="00EE4620" w:rsidRPr="00EE4620" w:rsidRDefault="00EE4620" w:rsidP="00EE4620">
      <w:pPr>
        <w:spacing w:after="0" w:line="240" w:lineRule="auto"/>
        <w:rPr>
          <w:rFonts w:ascii="Arial" w:eastAsia="Times New Roman" w:hAnsi="Arial" w:cs="Arial"/>
          <w:b/>
          <w:lang w:eastAsia="en-GB"/>
        </w:rPr>
      </w:pPr>
    </w:p>
    <w:p w14:paraId="18907C5D" w14:textId="77777777" w:rsidR="00EE4620" w:rsidRPr="00EE4620" w:rsidRDefault="00EE4620" w:rsidP="00EE4620">
      <w:pPr>
        <w:spacing w:after="0" w:line="240" w:lineRule="auto"/>
        <w:rPr>
          <w:rFonts w:ascii="Arial" w:eastAsia="Times New Roman" w:hAnsi="Arial" w:cs="Arial"/>
          <w:b/>
          <w:lang w:eastAsia="en-GB"/>
        </w:rPr>
      </w:pPr>
    </w:p>
    <w:p w14:paraId="18907C5E" w14:textId="77777777" w:rsidR="00EE4620" w:rsidRPr="00EE4620" w:rsidRDefault="00EE4620" w:rsidP="00EE4620">
      <w:pPr>
        <w:spacing w:after="0" w:line="240" w:lineRule="auto"/>
        <w:rPr>
          <w:rFonts w:ascii="Arial" w:eastAsia="Times New Roman" w:hAnsi="Arial" w:cs="Arial"/>
          <w:b/>
          <w:lang w:eastAsia="en-GB"/>
        </w:rPr>
      </w:pPr>
    </w:p>
    <w:p w14:paraId="18907C5F" w14:textId="77777777" w:rsidR="00EE4620" w:rsidRPr="00EE4620" w:rsidRDefault="00EE4620" w:rsidP="00EE4620">
      <w:pPr>
        <w:spacing w:after="0" w:line="240" w:lineRule="auto"/>
        <w:rPr>
          <w:rFonts w:ascii="Arial" w:eastAsia="Times New Roman" w:hAnsi="Arial" w:cs="Arial"/>
          <w:b/>
          <w:lang w:eastAsia="en-GB"/>
        </w:rPr>
      </w:pPr>
    </w:p>
    <w:p w14:paraId="18907C60" w14:textId="77777777" w:rsidR="00EE4620" w:rsidRPr="00EE4620" w:rsidRDefault="00EE4620" w:rsidP="00EE4620">
      <w:pPr>
        <w:spacing w:after="0" w:line="240" w:lineRule="auto"/>
        <w:rPr>
          <w:rFonts w:ascii="Arial" w:eastAsia="Times New Roman" w:hAnsi="Arial" w:cs="Arial"/>
          <w:b/>
          <w:lang w:eastAsia="en-GB"/>
        </w:rPr>
      </w:pPr>
    </w:p>
    <w:p w14:paraId="18907C61" w14:textId="77777777" w:rsidR="00EE4620" w:rsidRPr="00EE4620" w:rsidRDefault="00EE4620" w:rsidP="00EE4620">
      <w:pPr>
        <w:spacing w:after="0" w:line="240" w:lineRule="auto"/>
        <w:rPr>
          <w:rFonts w:ascii="Arial" w:eastAsia="Times New Roman" w:hAnsi="Arial" w:cs="Arial"/>
          <w:b/>
          <w:lang w:eastAsia="en-GB"/>
        </w:rPr>
      </w:pPr>
    </w:p>
    <w:p w14:paraId="18907C62" w14:textId="77777777" w:rsidR="00EE4620" w:rsidRPr="00EE4620" w:rsidRDefault="00EE4620" w:rsidP="00EE4620">
      <w:pPr>
        <w:spacing w:after="0" w:line="240" w:lineRule="auto"/>
        <w:rPr>
          <w:rFonts w:ascii="Arial" w:eastAsia="Times New Roman" w:hAnsi="Arial" w:cs="Arial"/>
          <w:b/>
          <w:lang w:eastAsia="en-GB"/>
        </w:rPr>
      </w:pPr>
    </w:p>
    <w:p w14:paraId="18907C63" w14:textId="77777777" w:rsidR="00EE4620" w:rsidRPr="00EE4620" w:rsidRDefault="00EE4620" w:rsidP="00EE4620">
      <w:pPr>
        <w:spacing w:after="0" w:line="240" w:lineRule="auto"/>
        <w:rPr>
          <w:rFonts w:ascii="Arial" w:eastAsia="Times New Roman" w:hAnsi="Arial" w:cs="Arial"/>
          <w:b/>
          <w:lang w:eastAsia="en-GB"/>
        </w:rPr>
      </w:pPr>
    </w:p>
    <w:p w14:paraId="18907C64" w14:textId="77777777" w:rsidR="00EE4620" w:rsidRPr="00EE4620" w:rsidRDefault="00EE4620" w:rsidP="00EE4620">
      <w:pPr>
        <w:spacing w:after="0" w:line="240" w:lineRule="auto"/>
        <w:rPr>
          <w:rFonts w:ascii="Arial" w:eastAsia="Times New Roman" w:hAnsi="Arial" w:cs="Arial"/>
          <w:b/>
          <w:lang w:eastAsia="en-GB"/>
        </w:rPr>
      </w:pPr>
      <w:r w:rsidRPr="00EE4620">
        <w:rPr>
          <w:rFonts w:ascii="Arial" w:eastAsia="Times New Roman" w:hAnsi="Arial" w:cs="Arial"/>
          <w:b/>
          <w:lang w:eastAsia="en-GB"/>
        </w:rPr>
        <w:br w:type="page"/>
      </w:r>
    </w:p>
    <w:p w14:paraId="18907C65" w14:textId="77777777" w:rsidR="00EE4620" w:rsidRPr="00EE4620" w:rsidRDefault="00EE4620" w:rsidP="00EE4620">
      <w:pPr>
        <w:spacing w:after="0" w:line="240" w:lineRule="auto"/>
        <w:rPr>
          <w:rFonts w:ascii="Arial" w:eastAsia="Times New Roman" w:hAnsi="Arial" w:cs="Arial"/>
          <w:b/>
          <w:lang w:eastAsia="en-GB"/>
        </w:rPr>
      </w:pPr>
      <w:r w:rsidRPr="00EE4620">
        <w:rPr>
          <w:rFonts w:ascii="Arial" w:eastAsia="Times New Roman" w:hAnsi="Arial" w:cs="Arial"/>
          <w:b/>
          <w:lang w:eastAsia="en-GB"/>
        </w:rPr>
        <w:lastRenderedPageBreak/>
        <w:t xml:space="preserve">Table 22 – How much, if anything, have you heard about the sector-led improvement approach?  </w:t>
      </w:r>
    </w:p>
    <w:p w14:paraId="18907C66" w14:textId="77777777" w:rsidR="00EE4620" w:rsidRPr="00EE4620" w:rsidRDefault="00EE4620" w:rsidP="00EE4620">
      <w:pPr>
        <w:spacing w:after="0" w:line="240" w:lineRule="auto"/>
        <w:rPr>
          <w:rFonts w:ascii="Arial" w:eastAsia="Times New Roman" w:hAnsi="Arial" w:cs="Arial"/>
          <w:b/>
          <w:sz w:val="24"/>
          <w:szCs w:val="24"/>
          <w:lang w:eastAsia="en-GB"/>
        </w:rPr>
      </w:pPr>
      <w:r w:rsidRPr="00EE4620">
        <w:rPr>
          <w:rFonts w:ascii="Arial" w:eastAsia="Times New Roman" w:hAnsi="Arial" w:cs="Times New Roman"/>
          <w:noProof/>
          <w:sz w:val="24"/>
          <w:szCs w:val="20"/>
          <w:lang w:eastAsia="en-GB"/>
        </w:rPr>
        <w:drawing>
          <wp:inline distT="0" distB="0" distL="0" distR="0" wp14:anchorId="18907D14" wp14:editId="18907D15">
            <wp:extent cx="5278120" cy="3076685"/>
            <wp:effectExtent l="0" t="0" r="0" b="0"/>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8907C67" w14:textId="77777777" w:rsidR="00EE4620" w:rsidRPr="00EE4620" w:rsidRDefault="00EE4620" w:rsidP="00EE4620">
      <w:pPr>
        <w:spacing w:after="0" w:line="240" w:lineRule="auto"/>
        <w:rPr>
          <w:rFonts w:ascii="Arial" w:eastAsia="Times New Roman" w:hAnsi="Arial" w:cs="Arial"/>
          <w:b/>
          <w:lang w:eastAsia="en-GB"/>
        </w:rPr>
      </w:pPr>
    </w:p>
    <w:p w14:paraId="18907C68" w14:textId="77777777" w:rsidR="00EE4620" w:rsidRPr="00EE4620" w:rsidRDefault="00EE4620" w:rsidP="00EE4620">
      <w:pPr>
        <w:spacing w:after="0" w:line="240" w:lineRule="auto"/>
        <w:rPr>
          <w:rFonts w:ascii="Arial" w:eastAsia="Times New Roman" w:hAnsi="Arial" w:cs="Arial"/>
          <w:b/>
          <w:lang w:eastAsia="en-GB"/>
        </w:rPr>
      </w:pPr>
      <w:r w:rsidRPr="00EE4620">
        <w:rPr>
          <w:rFonts w:ascii="Arial" w:eastAsia="Times New Roman" w:hAnsi="Arial" w:cs="Arial"/>
          <w:b/>
          <w:lang w:eastAsia="en-GB"/>
        </w:rPr>
        <w:t>Table 22 - Comparison between 2012 and 2013 (proportion who agree or strongly agree with the statements)</w:t>
      </w:r>
    </w:p>
    <w:p w14:paraId="18907C69" w14:textId="77777777" w:rsidR="00EE4620" w:rsidRPr="00EE4620" w:rsidRDefault="00EE4620" w:rsidP="00EE4620">
      <w:pPr>
        <w:spacing w:after="0" w:line="240" w:lineRule="auto"/>
        <w:rPr>
          <w:rFonts w:ascii="Arial" w:eastAsia="Times New Roman" w:hAnsi="Arial" w:cs="Arial"/>
          <w:b/>
          <w:sz w:val="24"/>
          <w:szCs w:val="24"/>
          <w:lang w:eastAsia="en-GB"/>
        </w:rPr>
      </w:pPr>
    </w:p>
    <w:tbl>
      <w:tblPr>
        <w:tblStyle w:val="BMGTable"/>
        <w:tblW w:w="954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268"/>
        <w:gridCol w:w="896"/>
        <w:gridCol w:w="851"/>
        <w:gridCol w:w="850"/>
        <w:gridCol w:w="851"/>
        <w:gridCol w:w="993"/>
        <w:gridCol w:w="872"/>
        <w:gridCol w:w="970"/>
        <w:gridCol w:w="992"/>
      </w:tblGrid>
      <w:tr w:rsidR="00EE4620" w:rsidRPr="00EE4620" w14:paraId="18907C6F" w14:textId="77777777" w:rsidTr="00E554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000000" w:themeFill="text1"/>
          </w:tcPr>
          <w:p w14:paraId="18907C6A" w14:textId="77777777" w:rsidR="00EE4620" w:rsidRPr="00EE4620" w:rsidRDefault="00EE4620" w:rsidP="00EE4620">
            <w:pPr>
              <w:rPr>
                <w:rFonts w:cs="Arial"/>
              </w:rPr>
            </w:pPr>
          </w:p>
        </w:tc>
        <w:tc>
          <w:tcPr>
            <w:tcW w:w="1747" w:type="dxa"/>
            <w:gridSpan w:val="2"/>
            <w:shd w:val="clear" w:color="auto" w:fill="000000" w:themeFill="text1"/>
          </w:tcPr>
          <w:p w14:paraId="18907C6B" w14:textId="77777777" w:rsidR="00EE4620" w:rsidRPr="00EE4620" w:rsidRDefault="00EE4620" w:rsidP="00EE4620">
            <w:pPr>
              <w:cnfStyle w:val="100000000000" w:firstRow="1" w:lastRow="0" w:firstColumn="0" w:lastColumn="0" w:oddVBand="0" w:evenVBand="0" w:oddHBand="0" w:evenHBand="0" w:firstRowFirstColumn="0" w:firstRowLastColumn="0" w:lastRowFirstColumn="0" w:lastRowLastColumn="0"/>
              <w:rPr>
                <w:rFonts w:cs="Arial"/>
              </w:rPr>
            </w:pPr>
            <w:r w:rsidRPr="00EE4620">
              <w:rPr>
                <w:rFonts w:cs="Arial"/>
              </w:rPr>
              <w:t>Total</w:t>
            </w:r>
          </w:p>
        </w:tc>
        <w:tc>
          <w:tcPr>
            <w:tcW w:w="1701" w:type="dxa"/>
            <w:gridSpan w:val="2"/>
            <w:shd w:val="clear" w:color="auto" w:fill="000000" w:themeFill="text1"/>
          </w:tcPr>
          <w:p w14:paraId="18907C6C" w14:textId="77777777" w:rsidR="00EE4620" w:rsidRPr="00EE4620" w:rsidRDefault="00EE4620" w:rsidP="00EE4620">
            <w:pPr>
              <w:cnfStyle w:val="100000000000" w:firstRow="1" w:lastRow="0" w:firstColumn="0" w:lastColumn="0" w:oddVBand="0" w:evenVBand="0" w:oddHBand="0" w:evenHBand="0" w:firstRowFirstColumn="0" w:firstRowLastColumn="0" w:lastRowFirstColumn="0" w:lastRowLastColumn="0"/>
              <w:rPr>
                <w:rFonts w:cs="Arial"/>
              </w:rPr>
            </w:pPr>
            <w:r w:rsidRPr="00EE4620">
              <w:rPr>
                <w:rFonts w:cs="Arial"/>
              </w:rPr>
              <w:t>Officers</w:t>
            </w:r>
          </w:p>
        </w:tc>
        <w:tc>
          <w:tcPr>
            <w:tcW w:w="1865" w:type="dxa"/>
            <w:gridSpan w:val="2"/>
            <w:shd w:val="clear" w:color="auto" w:fill="000000" w:themeFill="text1"/>
          </w:tcPr>
          <w:p w14:paraId="18907C6D" w14:textId="77777777" w:rsidR="00EE4620" w:rsidRPr="00EE4620" w:rsidRDefault="00EE4620" w:rsidP="00EE4620">
            <w:pPr>
              <w:cnfStyle w:val="100000000000" w:firstRow="1" w:lastRow="0" w:firstColumn="0" w:lastColumn="0" w:oddVBand="0" w:evenVBand="0" w:oddHBand="0" w:evenHBand="0" w:firstRowFirstColumn="0" w:firstRowLastColumn="0" w:lastRowFirstColumn="0" w:lastRowLastColumn="0"/>
              <w:rPr>
                <w:rFonts w:cs="Arial"/>
              </w:rPr>
            </w:pPr>
            <w:r w:rsidRPr="00EE4620">
              <w:rPr>
                <w:rFonts w:cs="Arial"/>
              </w:rPr>
              <w:t>Frontbench members</w:t>
            </w:r>
          </w:p>
        </w:tc>
        <w:tc>
          <w:tcPr>
            <w:tcW w:w="1962" w:type="dxa"/>
            <w:gridSpan w:val="2"/>
            <w:shd w:val="clear" w:color="auto" w:fill="000000" w:themeFill="text1"/>
          </w:tcPr>
          <w:p w14:paraId="18907C6E" w14:textId="77777777" w:rsidR="00EE4620" w:rsidRPr="00EE4620" w:rsidRDefault="00EE4620" w:rsidP="00EE4620">
            <w:pPr>
              <w:cnfStyle w:val="100000000000" w:firstRow="1" w:lastRow="0" w:firstColumn="0" w:lastColumn="0" w:oddVBand="0" w:evenVBand="0" w:oddHBand="0" w:evenHBand="0" w:firstRowFirstColumn="0" w:firstRowLastColumn="0" w:lastRowFirstColumn="0" w:lastRowLastColumn="0"/>
              <w:rPr>
                <w:rFonts w:cs="Arial"/>
              </w:rPr>
            </w:pPr>
            <w:r w:rsidRPr="00EE4620">
              <w:rPr>
                <w:rFonts w:cs="Arial"/>
              </w:rPr>
              <w:t>Backbench members</w:t>
            </w:r>
          </w:p>
        </w:tc>
      </w:tr>
      <w:tr w:rsidR="00EE4620" w:rsidRPr="00EE4620" w14:paraId="18907C79" w14:textId="77777777" w:rsidTr="00E5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tcBorders>
          </w:tcPr>
          <w:p w14:paraId="18907C70" w14:textId="77777777" w:rsidR="00EE4620" w:rsidRPr="00EE4620" w:rsidRDefault="00EE4620" w:rsidP="00EE4620">
            <w:pPr>
              <w:rPr>
                <w:rFonts w:cs="Arial"/>
              </w:rPr>
            </w:pPr>
          </w:p>
        </w:tc>
        <w:tc>
          <w:tcPr>
            <w:tcW w:w="896" w:type="dxa"/>
            <w:tcBorders>
              <w:top w:val="none" w:sz="0" w:space="0" w:color="auto"/>
              <w:bottom w:val="none" w:sz="0" w:space="0" w:color="auto"/>
            </w:tcBorders>
          </w:tcPr>
          <w:p w14:paraId="18907C71" w14:textId="77777777" w:rsidR="00EE4620" w:rsidRPr="00EE4620" w:rsidRDefault="00EE4620" w:rsidP="00EE4620">
            <w:pPr>
              <w:cnfStyle w:val="000000100000" w:firstRow="0" w:lastRow="0" w:firstColumn="0" w:lastColumn="0" w:oddVBand="0" w:evenVBand="0" w:oddHBand="1" w:evenHBand="0" w:firstRowFirstColumn="0" w:firstRowLastColumn="0" w:lastRowFirstColumn="0" w:lastRowLastColumn="0"/>
              <w:rPr>
                <w:rFonts w:cs="Arial"/>
              </w:rPr>
            </w:pPr>
            <w:r w:rsidRPr="00EE4620">
              <w:rPr>
                <w:rFonts w:cs="Arial"/>
              </w:rPr>
              <w:t>2012 (937)</w:t>
            </w:r>
          </w:p>
        </w:tc>
        <w:tc>
          <w:tcPr>
            <w:tcW w:w="851" w:type="dxa"/>
            <w:tcBorders>
              <w:top w:val="none" w:sz="0" w:space="0" w:color="auto"/>
              <w:bottom w:val="none" w:sz="0" w:space="0" w:color="auto"/>
            </w:tcBorders>
          </w:tcPr>
          <w:p w14:paraId="18907C72" w14:textId="77777777" w:rsidR="00EE4620" w:rsidRPr="00EE4620" w:rsidRDefault="00EE4620" w:rsidP="00EE4620">
            <w:pPr>
              <w:cnfStyle w:val="000000100000" w:firstRow="0" w:lastRow="0" w:firstColumn="0" w:lastColumn="0" w:oddVBand="0" w:evenVBand="0" w:oddHBand="1" w:evenHBand="0" w:firstRowFirstColumn="0" w:firstRowLastColumn="0" w:lastRowFirstColumn="0" w:lastRowLastColumn="0"/>
              <w:rPr>
                <w:rFonts w:cs="Arial"/>
              </w:rPr>
            </w:pPr>
            <w:r w:rsidRPr="00EE4620">
              <w:rPr>
                <w:rFonts w:cs="Arial"/>
              </w:rPr>
              <w:t>2013 (917)</w:t>
            </w:r>
          </w:p>
        </w:tc>
        <w:tc>
          <w:tcPr>
            <w:tcW w:w="850" w:type="dxa"/>
            <w:tcBorders>
              <w:top w:val="none" w:sz="0" w:space="0" w:color="auto"/>
              <w:bottom w:val="none" w:sz="0" w:space="0" w:color="auto"/>
            </w:tcBorders>
          </w:tcPr>
          <w:p w14:paraId="18907C73" w14:textId="77777777" w:rsidR="00EE4620" w:rsidRPr="00EE4620" w:rsidRDefault="00EE4620" w:rsidP="00EE4620">
            <w:pPr>
              <w:cnfStyle w:val="000000100000" w:firstRow="0" w:lastRow="0" w:firstColumn="0" w:lastColumn="0" w:oddVBand="0" w:evenVBand="0" w:oddHBand="1" w:evenHBand="0" w:firstRowFirstColumn="0" w:firstRowLastColumn="0" w:lastRowFirstColumn="0" w:lastRowLastColumn="0"/>
              <w:rPr>
                <w:rFonts w:cs="Arial"/>
              </w:rPr>
            </w:pPr>
            <w:r w:rsidRPr="00EE4620">
              <w:rPr>
                <w:rFonts w:cs="Arial"/>
              </w:rPr>
              <w:t>2012 (333)</w:t>
            </w:r>
          </w:p>
        </w:tc>
        <w:tc>
          <w:tcPr>
            <w:tcW w:w="851" w:type="dxa"/>
            <w:tcBorders>
              <w:top w:val="none" w:sz="0" w:space="0" w:color="auto"/>
              <w:bottom w:val="none" w:sz="0" w:space="0" w:color="auto"/>
            </w:tcBorders>
          </w:tcPr>
          <w:p w14:paraId="18907C74" w14:textId="77777777" w:rsidR="00EE4620" w:rsidRPr="00EE4620" w:rsidRDefault="00EE4620" w:rsidP="00EE4620">
            <w:pPr>
              <w:cnfStyle w:val="000000100000" w:firstRow="0" w:lastRow="0" w:firstColumn="0" w:lastColumn="0" w:oddVBand="0" w:evenVBand="0" w:oddHBand="1" w:evenHBand="0" w:firstRowFirstColumn="0" w:firstRowLastColumn="0" w:lastRowFirstColumn="0" w:lastRowLastColumn="0"/>
              <w:rPr>
                <w:rFonts w:cs="Arial"/>
              </w:rPr>
            </w:pPr>
            <w:r w:rsidRPr="00EE4620">
              <w:rPr>
                <w:rFonts w:cs="Arial"/>
              </w:rPr>
              <w:t>2013 (325)</w:t>
            </w:r>
          </w:p>
        </w:tc>
        <w:tc>
          <w:tcPr>
            <w:tcW w:w="993" w:type="dxa"/>
            <w:tcBorders>
              <w:top w:val="none" w:sz="0" w:space="0" w:color="auto"/>
              <w:bottom w:val="none" w:sz="0" w:space="0" w:color="auto"/>
            </w:tcBorders>
          </w:tcPr>
          <w:p w14:paraId="18907C75" w14:textId="77777777" w:rsidR="00EE4620" w:rsidRPr="00EE4620" w:rsidRDefault="00EE4620" w:rsidP="00EE4620">
            <w:pPr>
              <w:cnfStyle w:val="000000100000" w:firstRow="0" w:lastRow="0" w:firstColumn="0" w:lastColumn="0" w:oddVBand="0" w:evenVBand="0" w:oddHBand="1" w:evenHBand="0" w:firstRowFirstColumn="0" w:firstRowLastColumn="0" w:lastRowFirstColumn="0" w:lastRowLastColumn="0"/>
              <w:rPr>
                <w:rFonts w:cs="Arial"/>
              </w:rPr>
            </w:pPr>
            <w:r w:rsidRPr="00EE4620">
              <w:rPr>
                <w:rFonts w:cs="Arial"/>
              </w:rPr>
              <w:t>2012 (293)</w:t>
            </w:r>
          </w:p>
        </w:tc>
        <w:tc>
          <w:tcPr>
            <w:tcW w:w="872" w:type="dxa"/>
            <w:tcBorders>
              <w:top w:val="none" w:sz="0" w:space="0" w:color="auto"/>
              <w:bottom w:val="none" w:sz="0" w:space="0" w:color="auto"/>
            </w:tcBorders>
          </w:tcPr>
          <w:p w14:paraId="18907C76" w14:textId="77777777" w:rsidR="00EE4620" w:rsidRPr="00EE4620" w:rsidRDefault="00EE4620" w:rsidP="00EE4620">
            <w:pPr>
              <w:cnfStyle w:val="000000100000" w:firstRow="0" w:lastRow="0" w:firstColumn="0" w:lastColumn="0" w:oddVBand="0" w:evenVBand="0" w:oddHBand="1" w:evenHBand="0" w:firstRowFirstColumn="0" w:firstRowLastColumn="0" w:lastRowFirstColumn="0" w:lastRowLastColumn="0"/>
              <w:rPr>
                <w:rFonts w:cs="Arial"/>
              </w:rPr>
            </w:pPr>
            <w:r w:rsidRPr="00EE4620">
              <w:rPr>
                <w:rFonts w:cs="Arial"/>
              </w:rPr>
              <w:t>2013 (281)</w:t>
            </w:r>
          </w:p>
        </w:tc>
        <w:tc>
          <w:tcPr>
            <w:tcW w:w="970" w:type="dxa"/>
            <w:tcBorders>
              <w:top w:val="none" w:sz="0" w:space="0" w:color="auto"/>
              <w:bottom w:val="none" w:sz="0" w:space="0" w:color="auto"/>
            </w:tcBorders>
          </w:tcPr>
          <w:p w14:paraId="18907C77" w14:textId="77777777" w:rsidR="00EE4620" w:rsidRPr="00EE4620" w:rsidRDefault="00EE4620" w:rsidP="00EE4620">
            <w:pPr>
              <w:cnfStyle w:val="000000100000" w:firstRow="0" w:lastRow="0" w:firstColumn="0" w:lastColumn="0" w:oddVBand="0" w:evenVBand="0" w:oddHBand="1" w:evenHBand="0" w:firstRowFirstColumn="0" w:firstRowLastColumn="0" w:lastRowFirstColumn="0" w:lastRowLastColumn="0"/>
              <w:rPr>
                <w:rFonts w:cs="Arial"/>
              </w:rPr>
            </w:pPr>
            <w:r w:rsidRPr="00EE4620">
              <w:rPr>
                <w:rFonts w:cs="Arial"/>
              </w:rPr>
              <w:t>2012 (311)</w:t>
            </w:r>
          </w:p>
        </w:tc>
        <w:tc>
          <w:tcPr>
            <w:tcW w:w="992" w:type="dxa"/>
            <w:tcBorders>
              <w:top w:val="none" w:sz="0" w:space="0" w:color="auto"/>
              <w:bottom w:val="none" w:sz="0" w:space="0" w:color="auto"/>
              <w:right w:val="none" w:sz="0" w:space="0" w:color="auto"/>
            </w:tcBorders>
          </w:tcPr>
          <w:p w14:paraId="18907C78" w14:textId="77777777" w:rsidR="00EE4620" w:rsidRPr="00EE4620" w:rsidRDefault="00EE4620" w:rsidP="00EE4620">
            <w:pPr>
              <w:cnfStyle w:val="000000100000" w:firstRow="0" w:lastRow="0" w:firstColumn="0" w:lastColumn="0" w:oddVBand="0" w:evenVBand="0" w:oddHBand="1" w:evenHBand="0" w:firstRowFirstColumn="0" w:firstRowLastColumn="0" w:lastRowFirstColumn="0" w:lastRowLastColumn="0"/>
              <w:rPr>
                <w:rFonts w:cs="Arial"/>
              </w:rPr>
            </w:pPr>
            <w:r w:rsidRPr="00EE4620">
              <w:rPr>
                <w:rFonts w:cs="Arial"/>
              </w:rPr>
              <w:t>2013 (311)</w:t>
            </w:r>
          </w:p>
        </w:tc>
      </w:tr>
      <w:tr w:rsidR="00EE4620" w:rsidRPr="00EE4620" w14:paraId="18907C83" w14:textId="77777777" w:rsidTr="00E55451">
        <w:tc>
          <w:tcPr>
            <w:cnfStyle w:val="001000000000" w:firstRow="0" w:lastRow="0" w:firstColumn="1" w:lastColumn="0" w:oddVBand="0" w:evenVBand="0" w:oddHBand="0" w:evenHBand="0" w:firstRowFirstColumn="0" w:firstRowLastColumn="0" w:lastRowFirstColumn="0" w:lastRowLastColumn="0"/>
            <w:tcW w:w="2268" w:type="dxa"/>
          </w:tcPr>
          <w:p w14:paraId="18907C7A" w14:textId="77777777" w:rsidR="00EE4620" w:rsidRPr="00EE4620" w:rsidRDefault="00EE4620" w:rsidP="00EE4620">
            <w:pPr>
              <w:rPr>
                <w:rFonts w:cs="Arial"/>
              </w:rPr>
            </w:pPr>
            <w:r w:rsidRPr="00EE4620">
              <w:rPr>
                <w:rFonts w:cs="Arial"/>
              </w:rPr>
              <w:t>The approach to sector-led improvement is the right approach in the current context</w:t>
            </w:r>
          </w:p>
        </w:tc>
        <w:tc>
          <w:tcPr>
            <w:tcW w:w="896" w:type="dxa"/>
          </w:tcPr>
          <w:p w14:paraId="18907C7B" w14:textId="77777777" w:rsidR="00EE4620" w:rsidRPr="00EE4620" w:rsidRDefault="00EE4620" w:rsidP="00EE4620">
            <w:pPr>
              <w:cnfStyle w:val="000000000000" w:firstRow="0" w:lastRow="0" w:firstColumn="0" w:lastColumn="0" w:oddVBand="0" w:evenVBand="0" w:oddHBand="0" w:evenHBand="0" w:firstRowFirstColumn="0" w:firstRowLastColumn="0" w:lastRowFirstColumn="0" w:lastRowLastColumn="0"/>
              <w:rPr>
                <w:rFonts w:cs="Arial"/>
              </w:rPr>
            </w:pPr>
            <w:r w:rsidRPr="00EE4620">
              <w:rPr>
                <w:rFonts w:cs="Arial"/>
              </w:rPr>
              <w:t>59%</w:t>
            </w:r>
          </w:p>
        </w:tc>
        <w:tc>
          <w:tcPr>
            <w:tcW w:w="851" w:type="dxa"/>
          </w:tcPr>
          <w:p w14:paraId="18907C7C" w14:textId="77777777" w:rsidR="00EE4620" w:rsidRPr="00EE4620" w:rsidRDefault="00EE4620" w:rsidP="00EE4620">
            <w:pPr>
              <w:cnfStyle w:val="000000000000" w:firstRow="0" w:lastRow="0" w:firstColumn="0" w:lastColumn="0" w:oddVBand="0" w:evenVBand="0" w:oddHBand="0" w:evenHBand="0" w:firstRowFirstColumn="0" w:firstRowLastColumn="0" w:lastRowFirstColumn="0" w:lastRowLastColumn="0"/>
              <w:rPr>
                <w:rFonts w:cs="Arial"/>
                <w:b/>
              </w:rPr>
            </w:pPr>
            <w:r w:rsidRPr="00EE4620">
              <w:rPr>
                <w:rFonts w:cs="Arial"/>
                <w:b/>
              </w:rPr>
              <w:t>62%</w:t>
            </w:r>
          </w:p>
        </w:tc>
        <w:tc>
          <w:tcPr>
            <w:tcW w:w="850" w:type="dxa"/>
          </w:tcPr>
          <w:p w14:paraId="18907C7D" w14:textId="77777777" w:rsidR="00EE4620" w:rsidRPr="00EE4620" w:rsidRDefault="00EE4620" w:rsidP="00EE4620">
            <w:pPr>
              <w:cnfStyle w:val="000000000000" w:firstRow="0" w:lastRow="0" w:firstColumn="0" w:lastColumn="0" w:oddVBand="0" w:evenVBand="0" w:oddHBand="0" w:evenHBand="0" w:firstRowFirstColumn="0" w:firstRowLastColumn="0" w:lastRowFirstColumn="0" w:lastRowLastColumn="0"/>
              <w:rPr>
                <w:rFonts w:cs="Arial"/>
              </w:rPr>
            </w:pPr>
            <w:r w:rsidRPr="00EE4620">
              <w:rPr>
                <w:rFonts w:cs="Arial"/>
              </w:rPr>
              <w:t>68%</w:t>
            </w:r>
          </w:p>
        </w:tc>
        <w:tc>
          <w:tcPr>
            <w:tcW w:w="851" w:type="dxa"/>
          </w:tcPr>
          <w:p w14:paraId="18907C7E" w14:textId="77777777" w:rsidR="00EE4620" w:rsidRPr="00EE4620" w:rsidRDefault="00EE4620" w:rsidP="00EE4620">
            <w:pPr>
              <w:cnfStyle w:val="000000000000" w:firstRow="0" w:lastRow="0" w:firstColumn="0" w:lastColumn="0" w:oddVBand="0" w:evenVBand="0" w:oddHBand="0" w:evenHBand="0" w:firstRowFirstColumn="0" w:firstRowLastColumn="0" w:lastRowFirstColumn="0" w:lastRowLastColumn="0"/>
              <w:rPr>
                <w:rFonts w:cs="Arial"/>
                <w:b/>
              </w:rPr>
            </w:pPr>
            <w:r w:rsidRPr="00EE4620">
              <w:rPr>
                <w:rFonts w:cs="Arial"/>
                <w:b/>
              </w:rPr>
              <w:t>71%</w:t>
            </w:r>
          </w:p>
        </w:tc>
        <w:tc>
          <w:tcPr>
            <w:tcW w:w="993" w:type="dxa"/>
          </w:tcPr>
          <w:p w14:paraId="18907C7F" w14:textId="77777777" w:rsidR="00EE4620" w:rsidRPr="00EE4620" w:rsidRDefault="00EE4620" w:rsidP="00EE4620">
            <w:pPr>
              <w:cnfStyle w:val="000000000000" w:firstRow="0" w:lastRow="0" w:firstColumn="0" w:lastColumn="0" w:oddVBand="0" w:evenVBand="0" w:oddHBand="0" w:evenHBand="0" w:firstRowFirstColumn="0" w:firstRowLastColumn="0" w:lastRowFirstColumn="0" w:lastRowLastColumn="0"/>
              <w:rPr>
                <w:rFonts w:cs="Arial"/>
              </w:rPr>
            </w:pPr>
            <w:r w:rsidRPr="00EE4620">
              <w:rPr>
                <w:rFonts w:cs="Arial"/>
              </w:rPr>
              <w:t>56%</w:t>
            </w:r>
          </w:p>
        </w:tc>
        <w:tc>
          <w:tcPr>
            <w:tcW w:w="872" w:type="dxa"/>
          </w:tcPr>
          <w:p w14:paraId="18907C80" w14:textId="77777777" w:rsidR="00EE4620" w:rsidRPr="00EE4620" w:rsidRDefault="00EE4620" w:rsidP="00EE4620">
            <w:pPr>
              <w:cnfStyle w:val="000000000000" w:firstRow="0" w:lastRow="0" w:firstColumn="0" w:lastColumn="0" w:oddVBand="0" w:evenVBand="0" w:oddHBand="0" w:evenHBand="0" w:firstRowFirstColumn="0" w:firstRowLastColumn="0" w:lastRowFirstColumn="0" w:lastRowLastColumn="0"/>
              <w:rPr>
                <w:rFonts w:cs="Arial"/>
                <w:b/>
              </w:rPr>
            </w:pPr>
            <w:r w:rsidRPr="00EE4620">
              <w:rPr>
                <w:rFonts w:cs="Arial"/>
                <w:b/>
              </w:rPr>
              <w:t>58%</w:t>
            </w:r>
          </w:p>
        </w:tc>
        <w:tc>
          <w:tcPr>
            <w:tcW w:w="970" w:type="dxa"/>
          </w:tcPr>
          <w:p w14:paraId="18907C81" w14:textId="77777777" w:rsidR="00EE4620" w:rsidRPr="00EE4620" w:rsidRDefault="00EE4620" w:rsidP="00EE4620">
            <w:pPr>
              <w:cnfStyle w:val="000000000000" w:firstRow="0" w:lastRow="0" w:firstColumn="0" w:lastColumn="0" w:oddVBand="0" w:evenVBand="0" w:oddHBand="0" w:evenHBand="0" w:firstRowFirstColumn="0" w:firstRowLastColumn="0" w:lastRowFirstColumn="0" w:lastRowLastColumn="0"/>
              <w:rPr>
                <w:rFonts w:cs="Arial"/>
              </w:rPr>
            </w:pPr>
            <w:r w:rsidRPr="00EE4620">
              <w:rPr>
                <w:rFonts w:cs="Arial"/>
              </w:rPr>
              <w:t>51%</w:t>
            </w:r>
          </w:p>
        </w:tc>
        <w:tc>
          <w:tcPr>
            <w:tcW w:w="992" w:type="dxa"/>
          </w:tcPr>
          <w:p w14:paraId="18907C82" w14:textId="77777777" w:rsidR="00EE4620" w:rsidRPr="00EE4620" w:rsidRDefault="00EE4620" w:rsidP="00EE4620">
            <w:pPr>
              <w:cnfStyle w:val="000000000000" w:firstRow="0" w:lastRow="0" w:firstColumn="0" w:lastColumn="0" w:oddVBand="0" w:evenVBand="0" w:oddHBand="0" w:evenHBand="0" w:firstRowFirstColumn="0" w:firstRowLastColumn="0" w:lastRowFirstColumn="0" w:lastRowLastColumn="0"/>
              <w:rPr>
                <w:rFonts w:cs="Arial"/>
                <w:b/>
              </w:rPr>
            </w:pPr>
            <w:r w:rsidRPr="00EE4620">
              <w:rPr>
                <w:rFonts w:cs="Arial"/>
                <w:b/>
              </w:rPr>
              <w:t>56%</w:t>
            </w:r>
          </w:p>
        </w:tc>
      </w:tr>
      <w:tr w:rsidR="00EE4620" w:rsidRPr="00EE4620" w14:paraId="18907C8D" w14:textId="77777777" w:rsidTr="00E55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tcBorders>
          </w:tcPr>
          <w:p w14:paraId="18907C84" w14:textId="77777777" w:rsidR="00EE4620" w:rsidRPr="00EE4620" w:rsidRDefault="00EE4620" w:rsidP="00EE4620">
            <w:pPr>
              <w:rPr>
                <w:rFonts w:cs="Arial"/>
              </w:rPr>
            </w:pPr>
            <w:r w:rsidRPr="00EE4620">
              <w:rPr>
                <w:rFonts w:cs="Arial"/>
              </w:rPr>
              <w:t>My authority is making advances in driving improvement</w:t>
            </w:r>
          </w:p>
        </w:tc>
        <w:tc>
          <w:tcPr>
            <w:tcW w:w="896" w:type="dxa"/>
            <w:tcBorders>
              <w:top w:val="none" w:sz="0" w:space="0" w:color="auto"/>
              <w:bottom w:val="none" w:sz="0" w:space="0" w:color="auto"/>
            </w:tcBorders>
          </w:tcPr>
          <w:p w14:paraId="18907C85" w14:textId="77777777" w:rsidR="00EE4620" w:rsidRPr="00EE4620" w:rsidRDefault="00EE4620" w:rsidP="00EE4620">
            <w:pPr>
              <w:cnfStyle w:val="000000100000" w:firstRow="0" w:lastRow="0" w:firstColumn="0" w:lastColumn="0" w:oddVBand="0" w:evenVBand="0" w:oddHBand="1" w:evenHBand="0" w:firstRowFirstColumn="0" w:firstRowLastColumn="0" w:lastRowFirstColumn="0" w:lastRowLastColumn="0"/>
              <w:rPr>
                <w:rFonts w:cs="Arial"/>
              </w:rPr>
            </w:pPr>
            <w:r w:rsidRPr="00EE4620">
              <w:rPr>
                <w:rFonts w:cs="Arial"/>
              </w:rPr>
              <w:t>84%</w:t>
            </w:r>
          </w:p>
        </w:tc>
        <w:tc>
          <w:tcPr>
            <w:tcW w:w="851" w:type="dxa"/>
            <w:tcBorders>
              <w:top w:val="none" w:sz="0" w:space="0" w:color="auto"/>
              <w:bottom w:val="none" w:sz="0" w:space="0" w:color="auto"/>
            </w:tcBorders>
          </w:tcPr>
          <w:p w14:paraId="18907C86" w14:textId="77777777" w:rsidR="00EE4620" w:rsidRPr="00EE4620" w:rsidRDefault="00EE4620" w:rsidP="00EE4620">
            <w:pPr>
              <w:cnfStyle w:val="000000100000" w:firstRow="0" w:lastRow="0" w:firstColumn="0" w:lastColumn="0" w:oddVBand="0" w:evenVBand="0" w:oddHBand="1" w:evenHBand="0" w:firstRowFirstColumn="0" w:firstRowLastColumn="0" w:lastRowFirstColumn="0" w:lastRowLastColumn="0"/>
              <w:rPr>
                <w:rFonts w:cs="Arial"/>
                <w:b/>
              </w:rPr>
            </w:pPr>
            <w:r w:rsidRPr="00EE4620">
              <w:rPr>
                <w:rFonts w:cs="Arial"/>
                <w:b/>
              </w:rPr>
              <w:t>88%</w:t>
            </w:r>
          </w:p>
        </w:tc>
        <w:tc>
          <w:tcPr>
            <w:tcW w:w="850" w:type="dxa"/>
            <w:tcBorders>
              <w:top w:val="none" w:sz="0" w:space="0" w:color="auto"/>
              <w:bottom w:val="none" w:sz="0" w:space="0" w:color="auto"/>
            </w:tcBorders>
          </w:tcPr>
          <w:p w14:paraId="18907C87" w14:textId="77777777" w:rsidR="00EE4620" w:rsidRPr="00EE4620" w:rsidRDefault="00EE4620" w:rsidP="00EE4620">
            <w:pPr>
              <w:cnfStyle w:val="000000100000" w:firstRow="0" w:lastRow="0" w:firstColumn="0" w:lastColumn="0" w:oddVBand="0" w:evenVBand="0" w:oddHBand="1" w:evenHBand="0" w:firstRowFirstColumn="0" w:firstRowLastColumn="0" w:lastRowFirstColumn="0" w:lastRowLastColumn="0"/>
              <w:rPr>
                <w:rFonts w:cs="Arial"/>
              </w:rPr>
            </w:pPr>
            <w:r w:rsidRPr="00EE4620">
              <w:rPr>
                <w:rFonts w:cs="Arial"/>
              </w:rPr>
              <w:t>91%</w:t>
            </w:r>
          </w:p>
        </w:tc>
        <w:tc>
          <w:tcPr>
            <w:tcW w:w="851" w:type="dxa"/>
            <w:tcBorders>
              <w:top w:val="none" w:sz="0" w:space="0" w:color="auto"/>
              <w:bottom w:val="none" w:sz="0" w:space="0" w:color="auto"/>
            </w:tcBorders>
          </w:tcPr>
          <w:p w14:paraId="18907C88" w14:textId="77777777" w:rsidR="00EE4620" w:rsidRPr="00EE4620" w:rsidRDefault="00EE4620" w:rsidP="00EE4620">
            <w:pPr>
              <w:cnfStyle w:val="000000100000" w:firstRow="0" w:lastRow="0" w:firstColumn="0" w:lastColumn="0" w:oddVBand="0" w:evenVBand="0" w:oddHBand="1" w:evenHBand="0" w:firstRowFirstColumn="0" w:firstRowLastColumn="0" w:lastRowFirstColumn="0" w:lastRowLastColumn="0"/>
              <w:rPr>
                <w:rFonts w:cs="Arial"/>
                <w:b/>
              </w:rPr>
            </w:pPr>
            <w:r w:rsidRPr="00EE4620">
              <w:rPr>
                <w:rFonts w:cs="Arial"/>
                <w:b/>
              </w:rPr>
              <w:t>97%</w:t>
            </w:r>
          </w:p>
        </w:tc>
        <w:tc>
          <w:tcPr>
            <w:tcW w:w="993" w:type="dxa"/>
            <w:tcBorders>
              <w:top w:val="none" w:sz="0" w:space="0" w:color="auto"/>
              <w:bottom w:val="none" w:sz="0" w:space="0" w:color="auto"/>
            </w:tcBorders>
          </w:tcPr>
          <w:p w14:paraId="18907C89" w14:textId="77777777" w:rsidR="00EE4620" w:rsidRPr="00EE4620" w:rsidRDefault="00EE4620" w:rsidP="00EE4620">
            <w:pPr>
              <w:cnfStyle w:val="000000100000" w:firstRow="0" w:lastRow="0" w:firstColumn="0" w:lastColumn="0" w:oddVBand="0" w:evenVBand="0" w:oddHBand="1" w:evenHBand="0" w:firstRowFirstColumn="0" w:firstRowLastColumn="0" w:lastRowFirstColumn="0" w:lastRowLastColumn="0"/>
              <w:rPr>
                <w:rFonts w:cs="Arial"/>
              </w:rPr>
            </w:pPr>
            <w:r w:rsidRPr="00EE4620">
              <w:rPr>
                <w:rFonts w:cs="Arial"/>
              </w:rPr>
              <w:t>89%</w:t>
            </w:r>
          </w:p>
        </w:tc>
        <w:tc>
          <w:tcPr>
            <w:tcW w:w="872" w:type="dxa"/>
            <w:tcBorders>
              <w:top w:val="none" w:sz="0" w:space="0" w:color="auto"/>
              <w:bottom w:val="none" w:sz="0" w:space="0" w:color="auto"/>
            </w:tcBorders>
          </w:tcPr>
          <w:p w14:paraId="18907C8A" w14:textId="77777777" w:rsidR="00EE4620" w:rsidRPr="00EE4620" w:rsidRDefault="00EE4620" w:rsidP="00EE4620">
            <w:pPr>
              <w:cnfStyle w:val="000000100000" w:firstRow="0" w:lastRow="0" w:firstColumn="0" w:lastColumn="0" w:oddVBand="0" w:evenVBand="0" w:oddHBand="1" w:evenHBand="0" w:firstRowFirstColumn="0" w:firstRowLastColumn="0" w:lastRowFirstColumn="0" w:lastRowLastColumn="0"/>
              <w:rPr>
                <w:rFonts w:cs="Arial"/>
                <w:b/>
              </w:rPr>
            </w:pPr>
            <w:r w:rsidRPr="00EE4620">
              <w:rPr>
                <w:rFonts w:cs="Arial"/>
                <w:b/>
              </w:rPr>
              <w:t>91%</w:t>
            </w:r>
          </w:p>
        </w:tc>
        <w:tc>
          <w:tcPr>
            <w:tcW w:w="970" w:type="dxa"/>
            <w:tcBorders>
              <w:top w:val="none" w:sz="0" w:space="0" w:color="auto"/>
              <w:bottom w:val="none" w:sz="0" w:space="0" w:color="auto"/>
            </w:tcBorders>
          </w:tcPr>
          <w:p w14:paraId="18907C8B" w14:textId="77777777" w:rsidR="00EE4620" w:rsidRPr="00EE4620" w:rsidRDefault="00EE4620" w:rsidP="00EE4620">
            <w:pPr>
              <w:cnfStyle w:val="000000100000" w:firstRow="0" w:lastRow="0" w:firstColumn="0" w:lastColumn="0" w:oddVBand="0" w:evenVBand="0" w:oddHBand="1" w:evenHBand="0" w:firstRowFirstColumn="0" w:firstRowLastColumn="0" w:lastRowFirstColumn="0" w:lastRowLastColumn="0"/>
              <w:rPr>
                <w:rFonts w:cs="Arial"/>
              </w:rPr>
            </w:pPr>
            <w:r w:rsidRPr="00EE4620">
              <w:rPr>
                <w:rFonts w:cs="Arial"/>
              </w:rPr>
              <w:t>71%</w:t>
            </w:r>
          </w:p>
        </w:tc>
        <w:tc>
          <w:tcPr>
            <w:tcW w:w="992" w:type="dxa"/>
            <w:tcBorders>
              <w:top w:val="none" w:sz="0" w:space="0" w:color="auto"/>
              <w:bottom w:val="none" w:sz="0" w:space="0" w:color="auto"/>
              <w:right w:val="none" w:sz="0" w:space="0" w:color="auto"/>
            </w:tcBorders>
          </w:tcPr>
          <w:p w14:paraId="18907C8C" w14:textId="77777777" w:rsidR="00EE4620" w:rsidRPr="00EE4620" w:rsidRDefault="00EE4620" w:rsidP="00EE4620">
            <w:pPr>
              <w:cnfStyle w:val="000000100000" w:firstRow="0" w:lastRow="0" w:firstColumn="0" w:lastColumn="0" w:oddVBand="0" w:evenVBand="0" w:oddHBand="1" w:evenHBand="0" w:firstRowFirstColumn="0" w:firstRowLastColumn="0" w:lastRowFirstColumn="0" w:lastRowLastColumn="0"/>
              <w:rPr>
                <w:rFonts w:cs="Arial"/>
                <w:b/>
              </w:rPr>
            </w:pPr>
            <w:r w:rsidRPr="00EE4620">
              <w:rPr>
                <w:rFonts w:cs="Arial"/>
                <w:b/>
              </w:rPr>
              <w:t>77%</w:t>
            </w:r>
          </w:p>
        </w:tc>
      </w:tr>
      <w:tr w:rsidR="00EE4620" w:rsidRPr="00EE4620" w14:paraId="18907C97" w14:textId="77777777" w:rsidTr="00E55451">
        <w:tc>
          <w:tcPr>
            <w:cnfStyle w:val="001000000000" w:firstRow="0" w:lastRow="0" w:firstColumn="1" w:lastColumn="0" w:oddVBand="0" w:evenVBand="0" w:oddHBand="0" w:evenHBand="0" w:firstRowFirstColumn="0" w:firstRowLastColumn="0" w:lastRowFirstColumn="0" w:lastRowLastColumn="0"/>
            <w:tcW w:w="2268" w:type="dxa"/>
            <w:vAlign w:val="top"/>
          </w:tcPr>
          <w:p w14:paraId="18907C8E" w14:textId="77777777" w:rsidR="00EE4620" w:rsidRPr="00EE4620" w:rsidRDefault="00EE4620" w:rsidP="00EE4620">
            <w:pPr>
              <w:rPr>
                <w:rFonts w:cs="Arial"/>
              </w:rPr>
            </w:pPr>
            <w:r w:rsidRPr="00EE4620">
              <w:rPr>
                <w:rFonts w:cs="Arial"/>
              </w:rPr>
              <w:t>Local accountability is strong in my authority</w:t>
            </w:r>
          </w:p>
        </w:tc>
        <w:tc>
          <w:tcPr>
            <w:tcW w:w="896" w:type="dxa"/>
          </w:tcPr>
          <w:p w14:paraId="18907C8F" w14:textId="77777777" w:rsidR="00EE4620" w:rsidRPr="00EE4620" w:rsidRDefault="00EE4620" w:rsidP="00EE4620">
            <w:pPr>
              <w:cnfStyle w:val="000000000000" w:firstRow="0" w:lastRow="0" w:firstColumn="0" w:lastColumn="0" w:oddVBand="0" w:evenVBand="0" w:oddHBand="0" w:evenHBand="0" w:firstRowFirstColumn="0" w:firstRowLastColumn="0" w:lastRowFirstColumn="0" w:lastRowLastColumn="0"/>
              <w:rPr>
                <w:rFonts w:cs="Arial"/>
              </w:rPr>
            </w:pPr>
            <w:r w:rsidRPr="00EE4620">
              <w:rPr>
                <w:rFonts w:cs="Arial"/>
              </w:rPr>
              <w:t>83%</w:t>
            </w:r>
          </w:p>
        </w:tc>
        <w:tc>
          <w:tcPr>
            <w:tcW w:w="851" w:type="dxa"/>
          </w:tcPr>
          <w:p w14:paraId="18907C90" w14:textId="77777777" w:rsidR="00EE4620" w:rsidRPr="00EE4620" w:rsidRDefault="00EE4620" w:rsidP="00EE4620">
            <w:pPr>
              <w:cnfStyle w:val="000000000000" w:firstRow="0" w:lastRow="0" w:firstColumn="0" w:lastColumn="0" w:oddVBand="0" w:evenVBand="0" w:oddHBand="0" w:evenHBand="0" w:firstRowFirstColumn="0" w:firstRowLastColumn="0" w:lastRowFirstColumn="0" w:lastRowLastColumn="0"/>
              <w:rPr>
                <w:rFonts w:cs="Arial"/>
                <w:b/>
              </w:rPr>
            </w:pPr>
            <w:r w:rsidRPr="00EE4620">
              <w:rPr>
                <w:rFonts w:cs="Arial"/>
                <w:b/>
              </w:rPr>
              <w:t>85%</w:t>
            </w:r>
          </w:p>
        </w:tc>
        <w:tc>
          <w:tcPr>
            <w:tcW w:w="850" w:type="dxa"/>
          </w:tcPr>
          <w:p w14:paraId="18907C91" w14:textId="77777777" w:rsidR="00EE4620" w:rsidRPr="00EE4620" w:rsidRDefault="00EE4620" w:rsidP="00EE4620">
            <w:pPr>
              <w:cnfStyle w:val="000000000000" w:firstRow="0" w:lastRow="0" w:firstColumn="0" w:lastColumn="0" w:oddVBand="0" w:evenVBand="0" w:oddHBand="0" w:evenHBand="0" w:firstRowFirstColumn="0" w:firstRowLastColumn="0" w:lastRowFirstColumn="0" w:lastRowLastColumn="0"/>
              <w:rPr>
                <w:rFonts w:cs="Arial"/>
              </w:rPr>
            </w:pPr>
            <w:r w:rsidRPr="00EE4620">
              <w:rPr>
                <w:rFonts w:cs="Arial"/>
              </w:rPr>
              <w:t>89%</w:t>
            </w:r>
          </w:p>
        </w:tc>
        <w:tc>
          <w:tcPr>
            <w:tcW w:w="851" w:type="dxa"/>
          </w:tcPr>
          <w:p w14:paraId="18907C92" w14:textId="77777777" w:rsidR="00EE4620" w:rsidRPr="00EE4620" w:rsidRDefault="00EE4620" w:rsidP="00EE4620">
            <w:pPr>
              <w:cnfStyle w:val="000000000000" w:firstRow="0" w:lastRow="0" w:firstColumn="0" w:lastColumn="0" w:oddVBand="0" w:evenVBand="0" w:oddHBand="0" w:evenHBand="0" w:firstRowFirstColumn="0" w:firstRowLastColumn="0" w:lastRowFirstColumn="0" w:lastRowLastColumn="0"/>
              <w:rPr>
                <w:rFonts w:cs="Arial"/>
                <w:b/>
              </w:rPr>
            </w:pPr>
            <w:r w:rsidRPr="00EE4620">
              <w:rPr>
                <w:rFonts w:cs="Arial"/>
                <w:b/>
              </w:rPr>
              <w:t>94%</w:t>
            </w:r>
          </w:p>
        </w:tc>
        <w:tc>
          <w:tcPr>
            <w:tcW w:w="993" w:type="dxa"/>
          </w:tcPr>
          <w:p w14:paraId="18907C93" w14:textId="77777777" w:rsidR="00EE4620" w:rsidRPr="00EE4620" w:rsidRDefault="00EE4620" w:rsidP="00EE4620">
            <w:pPr>
              <w:cnfStyle w:val="000000000000" w:firstRow="0" w:lastRow="0" w:firstColumn="0" w:lastColumn="0" w:oddVBand="0" w:evenVBand="0" w:oddHBand="0" w:evenHBand="0" w:firstRowFirstColumn="0" w:firstRowLastColumn="0" w:lastRowFirstColumn="0" w:lastRowLastColumn="0"/>
              <w:rPr>
                <w:rFonts w:cs="Arial"/>
              </w:rPr>
            </w:pPr>
            <w:r w:rsidRPr="00EE4620">
              <w:rPr>
                <w:rFonts w:cs="Arial"/>
              </w:rPr>
              <w:t>89%</w:t>
            </w:r>
          </w:p>
        </w:tc>
        <w:tc>
          <w:tcPr>
            <w:tcW w:w="872" w:type="dxa"/>
          </w:tcPr>
          <w:p w14:paraId="18907C94" w14:textId="77777777" w:rsidR="00EE4620" w:rsidRPr="00EE4620" w:rsidRDefault="00EE4620" w:rsidP="00EE4620">
            <w:pPr>
              <w:cnfStyle w:val="000000000000" w:firstRow="0" w:lastRow="0" w:firstColumn="0" w:lastColumn="0" w:oddVBand="0" w:evenVBand="0" w:oddHBand="0" w:evenHBand="0" w:firstRowFirstColumn="0" w:firstRowLastColumn="0" w:lastRowFirstColumn="0" w:lastRowLastColumn="0"/>
              <w:rPr>
                <w:rFonts w:cs="Arial"/>
                <w:b/>
              </w:rPr>
            </w:pPr>
            <w:r w:rsidRPr="00EE4620">
              <w:rPr>
                <w:rFonts w:cs="Arial"/>
                <w:b/>
              </w:rPr>
              <w:t>87%</w:t>
            </w:r>
          </w:p>
        </w:tc>
        <w:tc>
          <w:tcPr>
            <w:tcW w:w="970" w:type="dxa"/>
          </w:tcPr>
          <w:p w14:paraId="18907C95" w14:textId="77777777" w:rsidR="00EE4620" w:rsidRPr="00EE4620" w:rsidRDefault="00EE4620" w:rsidP="00EE4620">
            <w:pPr>
              <w:cnfStyle w:val="000000000000" w:firstRow="0" w:lastRow="0" w:firstColumn="0" w:lastColumn="0" w:oddVBand="0" w:evenVBand="0" w:oddHBand="0" w:evenHBand="0" w:firstRowFirstColumn="0" w:firstRowLastColumn="0" w:lastRowFirstColumn="0" w:lastRowLastColumn="0"/>
              <w:rPr>
                <w:rFonts w:cs="Arial"/>
              </w:rPr>
            </w:pPr>
            <w:r w:rsidRPr="00EE4620">
              <w:rPr>
                <w:rFonts w:cs="Arial"/>
              </w:rPr>
              <w:t>73%</w:t>
            </w:r>
          </w:p>
        </w:tc>
        <w:tc>
          <w:tcPr>
            <w:tcW w:w="992" w:type="dxa"/>
          </w:tcPr>
          <w:p w14:paraId="18907C96" w14:textId="77777777" w:rsidR="00EE4620" w:rsidRPr="00EE4620" w:rsidRDefault="00EE4620" w:rsidP="00EE4620">
            <w:pPr>
              <w:cnfStyle w:val="000000000000" w:firstRow="0" w:lastRow="0" w:firstColumn="0" w:lastColumn="0" w:oddVBand="0" w:evenVBand="0" w:oddHBand="0" w:evenHBand="0" w:firstRowFirstColumn="0" w:firstRowLastColumn="0" w:lastRowFirstColumn="0" w:lastRowLastColumn="0"/>
              <w:rPr>
                <w:rFonts w:cs="Arial"/>
                <w:b/>
              </w:rPr>
            </w:pPr>
            <w:r w:rsidRPr="00EE4620">
              <w:rPr>
                <w:rFonts w:cs="Arial"/>
                <w:b/>
              </w:rPr>
              <w:t>74%</w:t>
            </w:r>
          </w:p>
        </w:tc>
      </w:tr>
    </w:tbl>
    <w:p w14:paraId="18907C98" w14:textId="77777777" w:rsidR="00EE4620" w:rsidRPr="00EE4620" w:rsidRDefault="00EE4620" w:rsidP="00EE4620">
      <w:pPr>
        <w:spacing w:after="0" w:line="240" w:lineRule="auto"/>
        <w:rPr>
          <w:rFonts w:ascii="Arial" w:eastAsia="Times New Roman" w:hAnsi="Arial" w:cs="Arial"/>
          <w:b/>
          <w:sz w:val="24"/>
          <w:szCs w:val="24"/>
          <w:lang w:eastAsia="en-GB"/>
        </w:rPr>
      </w:pPr>
    </w:p>
    <w:p w14:paraId="18907C99" w14:textId="56289473" w:rsidR="00EE4620" w:rsidRPr="00EE4620" w:rsidRDefault="00EE4620" w:rsidP="007672F4">
      <w:pPr>
        <w:numPr>
          <w:ilvl w:val="0"/>
          <w:numId w:val="3"/>
        </w:numPr>
        <w:spacing w:before="120" w:after="360" w:line="240" w:lineRule="auto"/>
        <w:ind w:left="567" w:hanging="567"/>
        <w:contextualSpacing/>
        <w:rPr>
          <w:rFonts w:ascii="Arial" w:eastAsia="Times New Roman" w:hAnsi="Arial" w:cs="Arial"/>
          <w:lang w:eastAsia="en-GB"/>
        </w:rPr>
      </w:pPr>
      <w:r w:rsidRPr="00EE4620">
        <w:rPr>
          <w:rFonts w:ascii="Arial" w:eastAsia="Times New Roman" w:hAnsi="Arial" w:cs="Arial"/>
          <w:lang w:eastAsia="en-GB"/>
        </w:rPr>
        <w:t xml:space="preserve">Respondents in </w:t>
      </w:r>
      <w:r w:rsidRPr="00EE4620">
        <w:rPr>
          <w:rFonts w:ascii="Arial" w:eastAsia="Times New Roman" w:hAnsi="Arial" w:cs="Arial"/>
          <w:b/>
          <w:lang w:eastAsia="en-GB"/>
        </w:rPr>
        <w:t>Yorkshire and the Humber</w:t>
      </w:r>
      <w:r w:rsidRPr="00EE4620">
        <w:rPr>
          <w:rFonts w:ascii="Arial" w:eastAsia="Times New Roman" w:hAnsi="Arial" w:cs="Arial"/>
          <w:lang w:eastAsia="en-GB"/>
        </w:rPr>
        <w:t xml:space="preserve"> are more likely than average (</w:t>
      </w:r>
      <w:r w:rsidRPr="00EE4620">
        <w:rPr>
          <w:rFonts w:ascii="Arial" w:eastAsia="Times New Roman" w:hAnsi="Arial" w:cs="Arial"/>
          <w:b/>
          <w:lang w:eastAsia="en-GB"/>
        </w:rPr>
        <w:t>16 per cent</w:t>
      </w:r>
      <w:r w:rsidRPr="00EE4620">
        <w:rPr>
          <w:rFonts w:ascii="Arial" w:eastAsia="Times New Roman" w:hAnsi="Arial" w:cs="Arial"/>
          <w:lang w:eastAsia="en-GB"/>
        </w:rPr>
        <w:t>) to disagree that the approach to secto</w:t>
      </w:r>
      <w:r w:rsidR="007672F4">
        <w:rPr>
          <w:rFonts w:ascii="Arial" w:eastAsia="Times New Roman" w:hAnsi="Arial" w:cs="Arial"/>
          <w:lang w:eastAsia="en-GB"/>
        </w:rPr>
        <w:t xml:space="preserve">r-led improvement is the right </w:t>
      </w:r>
      <w:r w:rsidRPr="00EE4620">
        <w:rPr>
          <w:rFonts w:ascii="Arial" w:eastAsia="Times New Roman" w:hAnsi="Arial" w:cs="Arial"/>
          <w:lang w:eastAsia="en-GB"/>
        </w:rPr>
        <w:t>approach in the current context</w:t>
      </w:r>
    </w:p>
    <w:p w14:paraId="18907C9A" w14:textId="77777777" w:rsidR="00EE4620" w:rsidRPr="00EE4620" w:rsidRDefault="00EE4620" w:rsidP="00EE4620">
      <w:pPr>
        <w:spacing w:after="0" w:line="240" w:lineRule="auto"/>
        <w:rPr>
          <w:rFonts w:ascii="Arial" w:eastAsia="Times New Roman" w:hAnsi="Arial" w:cs="Arial"/>
          <w:lang w:eastAsia="en-GB"/>
        </w:rPr>
      </w:pPr>
    </w:p>
    <w:p w14:paraId="18907C9B" w14:textId="6DD3DB7D" w:rsidR="00EE4620" w:rsidRPr="00EE4620" w:rsidRDefault="00EE4620" w:rsidP="007672F4">
      <w:pPr>
        <w:numPr>
          <w:ilvl w:val="0"/>
          <w:numId w:val="3"/>
        </w:numPr>
        <w:spacing w:before="120" w:after="360" w:line="240" w:lineRule="auto"/>
        <w:ind w:left="567" w:hanging="567"/>
        <w:contextualSpacing/>
        <w:rPr>
          <w:rFonts w:ascii="Arial" w:eastAsia="Times New Roman" w:hAnsi="Arial" w:cs="Arial"/>
          <w:lang w:eastAsia="en-GB"/>
        </w:rPr>
      </w:pPr>
      <w:r w:rsidRPr="00EE4620">
        <w:rPr>
          <w:rFonts w:ascii="Arial" w:eastAsia="Times New Roman" w:hAnsi="Arial" w:cs="Arial"/>
          <w:lang w:eastAsia="en-GB"/>
        </w:rPr>
        <w:t xml:space="preserve">The proportion of respondents who strongly agree that </w:t>
      </w:r>
      <w:r w:rsidRPr="00EE4620">
        <w:rPr>
          <w:rFonts w:ascii="Arial" w:eastAsia="Times New Roman" w:hAnsi="Arial" w:cs="Arial"/>
          <w:i/>
          <w:lang w:eastAsia="en-GB"/>
        </w:rPr>
        <w:t>‘local accountability is strong in my authority</w:t>
      </w:r>
      <w:r w:rsidRPr="00EE4620">
        <w:rPr>
          <w:rFonts w:ascii="Arial" w:eastAsia="Times New Roman" w:hAnsi="Arial" w:cs="Arial"/>
          <w:lang w:eastAsia="en-GB"/>
        </w:rPr>
        <w:t xml:space="preserve">’ is higher than average in the </w:t>
      </w:r>
      <w:r w:rsidRPr="00EE4620">
        <w:rPr>
          <w:rFonts w:ascii="Arial" w:eastAsia="Times New Roman" w:hAnsi="Arial" w:cs="Arial"/>
          <w:b/>
          <w:lang w:eastAsia="en-GB"/>
        </w:rPr>
        <w:t>North East</w:t>
      </w:r>
      <w:r w:rsidRPr="00EE4620">
        <w:rPr>
          <w:rFonts w:ascii="Arial" w:eastAsia="Times New Roman" w:hAnsi="Arial" w:cs="Arial"/>
          <w:lang w:eastAsia="en-GB"/>
        </w:rPr>
        <w:t xml:space="preserve"> (</w:t>
      </w:r>
      <w:r w:rsidRPr="00EE4620">
        <w:rPr>
          <w:rFonts w:ascii="Arial" w:eastAsia="Times New Roman" w:hAnsi="Arial" w:cs="Arial"/>
          <w:b/>
          <w:lang w:eastAsia="en-GB"/>
        </w:rPr>
        <w:t>64 per cent</w:t>
      </w:r>
      <w:r w:rsidRPr="00EE4620">
        <w:rPr>
          <w:rFonts w:ascii="Arial" w:eastAsia="Times New Roman" w:hAnsi="Arial" w:cs="Arial"/>
          <w:lang w:eastAsia="en-GB"/>
        </w:rPr>
        <w:t>).</w:t>
      </w:r>
    </w:p>
    <w:p w14:paraId="18907C9C" w14:textId="77777777" w:rsidR="00EE4620" w:rsidRPr="00EE4620" w:rsidRDefault="00EE4620" w:rsidP="00EE4620">
      <w:pPr>
        <w:spacing w:after="0" w:line="240" w:lineRule="auto"/>
        <w:rPr>
          <w:rFonts w:ascii="Arial" w:eastAsia="Times New Roman" w:hAnsi="Arial" w:cs="Arial"/>
          <w:b/>
          <w:lang w:eastAsia="en-GB"/>
        </w:rPr>
      </w:pPr>
    </w:p>
    <w:p w14:paraId="18907C9D" w14:textId="77777777" w:rsidR="00EE4620" w:rsidRDefault="00EE4620" w:rsidP="00EE4620">
      <w:pPr>
        <w:spacing w:after="0" w:line="240" w:lineRule="auto"/>
        <w:rPr>
          <w:rFonts w:ascii="Arial" w:eastAsia="Times New Roman" w:hAnsi="Arial" w:cs="Arial"/>
          <w:b/>
          <w:lang w:eastAsia="en-GB"/>
        </w:rPr>
      </w:pPr>
      <w:r>
        <w:rPr>
          <w:rFonts w:ascii="Arial" w:eastAsia="Times New Roman" w:hAnsi="Arial" w:cs="Arial"/>
          <w:b/>
          <w:lang w:eastAsia="en-GB"/>
        </w:rPr>
        <w:br w:type="page"/>
      </w:r>
    </w:p>
    <w:p w14:paraId="18907C9E" w14:textId="77777777" w:rsidR="00EE4620" w:rsidRPr="00EE4620" w:rsidRDefault="00EE4620" w:rsidP="00EE4620">
      <w:pPr>
        <w:spacing w:after="0" w:line="240" w:lineRule="auto"/>
        <w:rPr>
          <w:rFonts w:ascii="Arial" w:eastAsia="Times New Roman" w:hAnsi="Arial" w:cs="Arial"/>
          <w:b/>
          <w:lang w:eastAsia="en-GB"/>
        </w:rPr>
      </w:pPr>
      <w:r w:rsidRPr="00EE4620">
        <w:rPr>
          <w:rFonts w:ascii="Arial" w:eastAsia="Times New Roman" w:hAnsi="Arial" w:cs="Arial"/>
          <w:b/>
          <w:lang w:eastAsia="en-GB"/>
        </w:rPr>
        <w:lastRenderedPageBreak/>
        <w:t>Capacity for continuous improvement</w:t>
      </w:r>
    </w:p>
    <w:p w14:paraId="18907C9F" w14:textId="77777777" w:rsidR="00EE4620" w:rsidRPr="00EE4620" w:rsidRDefault="00EE4620" w:rsidP="00EE4620">
      <w:pPr>
        <w:spacing w:after="0" w:line="240" w:lineRule="auto"/>
        <w:rPr>
          <w:rFonts w:ascii="Arial" w:eastAsia="Times New Roman" w:hAnsi="Arial" w:cs="Arial"/>
          <w:lang w:eastAsia="en-GB"/>
        </w:rPr>
      </w:pPr>
    </w:p>
    <w:p w14:paraId="18907CA0" w14:textId="4458A544" w:rsidR="00EE4620" w:rsidRPr="00EE4620" w:rsidRDefault="00EE4620" w:rsidP="001677EA">
      <w:pPr>
        <w:numPr>
          <w:ilvl w:val="0"/>
          <w:numId w:val="3"/>
        </w:numPr>
        <w:spacing w:before="120" w:after="360" w:line="240" w:lineRule="auto"/>
        <w:ind w:left="567" w:hanging="567"/>
        <w:contextualSpacing/>
        <w:rPr>
          <w:rFonts w:ascii="Arial" w:eastAsia="Times New Roman" w:hAnsi="Arial" w:cs="Arial"/>
          <w:lang w:eastAsia="en-GB"/>
        </w:rPr>
      </w:pPr>
      <w:r w:rsidRPr="00EE4620">
        <w:rPr>
          <w:rFonts w:ascii="Arial" w:eastAsia="Times New Roman" w:hAnsi="Arial" w:cs="Arial"/>
          <w:lang w:eastAsia="en-GB"/>
        </w:rPr>
        <w:t>The majority of respondents (</w:t>
      </w:r>
      <w:r w:rsidRPr="00EE4620">
        <w:rPr>
          <w:rFonts w:ascii="Arial" w:eastAsia="Times New Roman" w:hAnsi="Arial" w:cs="Arial"/>
          <w:b/>
          <w:lang w:eastAsia="en-GB"/>
        </w:rPr>
        <w:t>87 per cent</w:t>
      </w:r>
      <w:r w:rsidRPr="00EE4620">
        <w:rPr>
          <w:rFonts w:ascii="Arial" w:eastAsia="Times New Roman" w:hAnsi="Arial" w:cs="Arial"/>
          <w:lang w:eastAsia="en-GB"/>
        </w:rPr>
        <w:t xml:space="preserve">) are at least moderately confident that their authority has the capacity to monitor its own performance and continuously improve.  This is similar to 2012 (85 per cent).  </w:t>
      </w:r>
    </w:p>
    <w:p w14:paraId="18907CA1" w14:textId="77777777" w:rsidR="00EE4620" w:rsidRPr="00EE4620" w:rsidRDefault="00EE4620" w:rsidP="00EE4620">
      <w:pPr>
        <w:spacing w:after="0" w:line="240" w:lineRule="auto"/>
        <w:rPr>
          <w:rFonts w:ascii="Arial" w:eastAsia="Times New Roman" w:hAnsi="Arial" w:cs="Arial"/>
          <w:lang w:eastAsia="en-GB"/>
        </w:rPr>
      </w:pPr>
    </w:p>
    <w:p w14:paraId="18907CA2" w14:textId="169D48DE" w:rsidR="00EE4620" w:rsidRPr="00EE4620" w:rsidRDefault="00EE4620" w:rsidP="001677EA">
      <w:pPr>
        <w:numPr>
          <w:ilvl w:val="0"/>
          <w:numId w:val="3"/>
        </w:numPr>
        <w:spacing w:before="120" w:after="360" w:line="240" w:lineRule="auto"/>
        <w:ind w:left="567" w:hanging="567"/>
        <w:contextualSpacing/>
        <w:rPr>
          <w:rFonts w:ascii="Arial" w:eastAsia="Times New Roman" w:hAnsi="Arial" w:cs="Arial"/>
          <w:lang w:eastAsia="en-GB"/>
        </w:rPr>
      </w:pPr>
      <w:r w:rsidRPr="00EE4620">
        <w:rPr>
          <w:rFonts w:ascii="Arial" w:eastAsia="Times New Roman" w:hAnsi="Arial" w:cs="Arial"/>
          <w:lang w:eastAsia="en-GB"/>
        </w:rPr>
        <w:t xml:space="preserve">Most </w:t>
      </w:r>
      <w:r w:rsidRPr="00EE4620">
        <w:rPr>
          <w:rFonts w:ascii="Arial" w:eastAsia="Times New Roman" w:hAnsi="Arial" w:cs="Arial"/>
          <w:b/>
          <w:lang w:eastAsia="en-GB"/>
        </w:rPr>
        <w:t>frontbench councillors</w:t>
      </w:r>
      <w:r w:rsidRPr="00EE4620">
        <w:rPr>
          <w:rFonts w:ascii="Arial" w:eastAsia="Times New Roman" w:hAnsi="Arial" w:cs="Arial"/>
          <w:lang w:eastAsia="en-GB"/>
        </w:rPr>
        <w:t xml:space="preserve"> (</w:t>
      </w:r>
      <w:r w:rsidRPr="00EE4620">
        <w:rPr>
          <w:rFonts w:ascii="Arial" w:eastAsia="Times New Roman" w:hAnsi="Arial" w:cs="Arial"/>
          <w:b/>
          <w:lang w:eastAsia="en-GB"/>
        </w:rPr>
        <w:t>91 per cent</w:t>
      </w:r>
      <w:r w:rsidRPr="00EE4620">
        <w:rPr>
          <w:rFonts w:ascii="Arial" w:eastAsia="Times New Roman" w:hAnsi="Arial" w:cs="Arial"/>
          <w:lang w:eastAsia="en-GB"/>
        </w:rPr>
        <w:t xml:space="preserve">) and </w:t>
      </w:r>
      <w:r w:rsidRPr="00EE4620">
        <w:rPr>
          <w:rFonts w:ascii="Arial" w:eastAsia="Times New Roman" w:hAnsi="Arial" w:cs="Arial"/>
          <w:b/>
          <w:lang w:eastAsia="en-GB"/>
        </w:rPr>
        <w:t>officers</w:t>
      </w:r>
      <w:r w:rsidRPr="00EE4620">
        <w:rPr>
          <w:rFonts w:ascii="Arial" w:eastAsia="Times New Roman" w:hAnsi="Arial" w:cs="Arial"/>
          <w:lang w:eastAsia="en-GB"/>
        </w:rPr>
        <w:t xml:space="preserve"> (</w:t>
      </w:r>
      <w:r w:rsidRPr="00EE4620">
        <w:rPr>
          <w:rFonts w:ascii="Arial" w:eastAsia="Times New Roman" w:hAnsi="Arial" w:cs="Arial"/>
          <w:b/>
          <w:lang w:eastAsia="en-GB"/>
        </w:rPr>
        <w:t>92 per cent</w:t>
      </w:r>
      <w:r w:rsidRPr="00EE4620">
        <w:rPr>
          <w:rFonts w:ascii="Arial" w:eastAsia="Times New Roman" w:hAnsi="Arial" w:cs="Arial"/>
          <w:lang w:eastAsia="en-GB"/>
        </w:rPr>
        <w:t>) are confident that their authority is able to mon</w:t>
      </w:r>
      <w:r>
        <w:rPr>
          <w:rFonts w:ascii="Arial" w:eastAsia="Times New Roman" w:hAnsi="Arial" w:cs="Arial"/>
          <w:lang w:eastAsia="en-GB"/>
        </w:rPr>
        <w:t xml:space="preserve">itor its own performance with a </w:t>
      </w:r>
      <w:r w:rsidRPr="00EE4620">
        <w:rPr>
          <w:rFonts w:ascii="Arial" w:eastAsia="Times New Roman" w:hAnsi="Arial" w:cs="Arial"/>
          <w:lang w:eastAsia="en-GB"/>
        </w:rPr>
        <w:t xml:space="preserve">view to continuously improving, one in five </w:t>
      </w:r>
      <w:r w:rsidRPr="00EE4620">
        <w:rPr>
          <w:rFonts w:ascii="Arial" w:eastAsia="Times New Roman" w:hAnsi="Arial" w:cs="Arial"/>
          <w:b/>
          <w:lang w:eastAsia="en-GB"/>
        </w:rPr>
        <w:t>backbench councillors</w:t>
      </w:r>
      <w:r w:rsidRPr="00EE4620">
        <w:rPr>
          <w:rFonts w:ascii="Arial" w:eastAsia="Times New Roman" w:hAnsi="Arial" w:cs="Arial"/>
          <w:lang w:eastAsia="en-GB"/>
        </w:rPr>
        <w:t xml:space="preserve"> (</w:t>
      </w:r>
      <w:r w:rsidRPr="00EE4620">
        <w:rPr>
          <w:rFonts w:ascii="Arial" w:eastAsia="Times New Roman" w:hAnsi="Arial" w:cs="Arial"/>
          <w:b/>
          <w:lang w:eastAsia="en-GB"/>
        </w:rPr>
        <w:t>20 per cent</w:t>
      </w:r>
      <w:r w:rsidRPr="00EE4620">
        <w:rPr>
          <w:rFonts w:ascii="Arial" w:eastAsia="Times New Roman" w:hAnsi="Arial" w:cs="Arial"/>
          <w:lang w:eastAsia="en-GB"/>
        </w:rPr>
        <w:t>) are not confident that this is the case.</w:t>
      </w:r>
    </w:p>
    <w:p w14:paraId="18907CA3" w14:textId="77777777" w:rsidR="00EE4620" w:rsidRPr="00EE4620" w:rsidRDefault="00EE4620" w:rsidP="00EE4620">
      <w:pPr>
        <w:spacing w:after="0" w:line="240" w:lineRule="auto"/>
        <w:rPr>
          <w:rFonts w:ascii="Arial" w:eastAsia="Times New Roman" w:hAnsi="Arial" w:cs="Arial"/>
          <w:lang w:eastAsia="en-GB"/>
        </w:rPr>
      </w:pPr>
    </w:p>
    <w:p w14:paraId="18907CA4" w14:textId="5A215BEE" w:rsidR="00EE4620" w:rsidRPr="00EE4620" w:rsidRDefault="00EE4620" w:rsidP="001677EA">
      <w:pPr>
        <w:numPr>
          <w:ilvl w:val="0"/>
          <w:numId w:val="3"/>
        </w:numPr>
        <w:spacing w:before="120" w:after="360" w:line="240" w:lineRule="auto"/>
        <w:ind w:left="567" w:hanging="567"/>
        <w:contextualSpacing/>
        <w:rPr>
          <w:rFonts w:ascii="Arial" w:eastAsia="Times New Roman" w:hAnsi="Arial" w:cs="Arial"/>
          <w:lang w:eastAsia="en-GB"/>
        </w:rPr>
      </w:pPr>
      <w:r w:rsidRPr="00EE4620">
        <w:rPr>
          <w:rFonts w:ascii="Arial" w:eastAsia="Times New Roman" w:hAnsi="Arial" w:cs="Arial"/>
          <w:lang w:eastAsia="en-GB"/>
        </w:rPr>
        <w:t xml:space="preserve">Confidence is highest in the </w:t>
      </w:r>
      <w:r w:rsidRPr="00EE4620">
        <w:rPr>
          <w:rFonts w:ascii="Arial" w:eastAsia="Times New Roman" w:hAnsi="Arial" w:cs="Arial"/>
          <w:b/>
          <w:lang w:eastAsia="en-GB"/>
        </w:rPr>
        <w:t>East Midlands</w:t>
      </w:r>
      <w:r w:rsidRPr="00EE4620">
        <w:rPr>
          <w:rFonts w:ascii="Arial" w:eastAsia="Times New Roman" w:hAnsi="Arial" w:cs="Arial"/>
          <w:lang w:eastAsia="en-GB"/>
        </w:rPr>
        <w:t xml:space="preserve"> (</w:t>
      </w:r>
      <w:r w:rsidRPr="00EE4620">
        <w:rPr>
          <w:rFonts w:ascii="Arial" w:eastAsia="Times New Roman" w:hAnsi="Arial" w:cs="Arial"/>
          <w:b/>
          <w:lang w:eastAsia="en-GB"/>
        </w:rPr>
        <w:t>58 per cent</w:t>
      </w:r>
      <w:r w:rsidR="001677EA">
        <w:rPr>
          <w:rFonts w:ascii="Arial" w:eastAsia="Times New Roman" w:hAnsi="Arial" w:cs="Arial"/>
          <w:lang w:eastAsia="en-GB"/>
        </w:rPr>
        <w:t>) and lowest in the</w:t>
      </w:r>
      <w:r w:rsidRPr="00EE4620">
        <w:rPr>
          <w:rFonts w:ascii="Arial" w:eastAsia="Times New Roman" w:hAnsi="Arial" w:cs="Arial"/>
          <w:lang w:eastAsia="en-GB"/>
        </w:rPr>
        <w:tab/>
      </w:r>
      <w:r w:rsidRPr="00EE4620">
        <w:rPr>
          <w:rFonts w:ascii="Arial" w:eastAsia="Times New Roman" w:hAnsi="Arial" w:cs="Arial"/>
          <w:b/>
          <w:lang w:eastAsia="en-GB"/>
        </w:rPr>
        <w:t>West Midlands</w:t>
      </w:r>
      <w:r w:rsidRPr="00EE4620">
        <w:rPr>
          <w:rFonts w:ascii="Arial" w:eastAsia="Times New Roman" w:hAnsi="Arial" w:cs="Arial"/>
          <w:lang w:eastAsia="en-GB"/>
        </w:rPr>
        <w:t xml:space="preserve"> (</w:t>
      </w:r>
      <w:r w:rsidRPr="00EE4620">
        <w:rPr>
          <w:rFonts w:ascii="Arial" w:eastAsia="Times New Roman" w:hAnsi="Arial" w:cs="Arial"/>
          <w:b/>
          <w:lang w:eastAsia="en-GB"/>
        </w:rPr>
        <w:t>20 per cent)</w:t>
      </w:r>
      <w:r w:rsidRPr="00EE4620">
        <w:rPr>
          <w:rFonts w:ascii="Arial" w:eastAsia="Times New Roman" w:hAnsi="Arial" w:cs="Arial"/>
          <w:lang w:eastAsia="en-GB"/>
        </w:rPr>
        <w:t>.</w:t>
      </w:r>
    </w:p>
    <w:p w14:paraId="18907CA5" w14:textId="77777777" w:rsidR="00EE4620" w:rsidRPr="00EE4620" w:rsidRDefault="00EE4620" w:rsidP="00EE4620">
      <w:pPr>
        <w:spacing w:after="0" w:line="240" w:lineRule="auto"/>
        <w:rPr>
          <w:rFonts w:ascii="Arial" w:eastAsia="Times New Roman" w:hAnsi="Arial" w:cs="Arial"/>
          <w:lang w:eastAsia="en-GB"/>
        </w:rPr>
      </w:pPr>
    </w:p>
    <w:p w14:paraId="18907CA6" w14:textId="77777777" w:rsidR="00EE4620" w:rsidRPr="00EE4620" w:rsidRDefault="00EE4620" w:rsidP="00EE4620">
      <w:pPr>
        <w:spacing w:after="0" w:line="240" w:lineRule="auto"/>
        <w:rPr>
          <w:rFonts w:ascii="Arial" w:eastAsia="Times New Roman" w:hAnsi="Arial" w:cs="Arial"/>
          <w:b/>
          <w:lang w:eastAsia="en-GB"/>
        </w:rPr>
      </w:pPr>
    </w:p>
    <w:p w14:paraId="18907CA7" w14:textId="77777777" w:rsidR="00EE4620" w:rsidRPr="00EE4620" w:rsidRDefault="00EE4620" w:rsidP="00EE4620">
      <w:pPr>
        <w:spacing w:after="0" w:line="240" w:lineRule="auto"/>
        <w:rPr>
          <w:rFonts w:ascii="Arial" w:eastAsia="Times New Roman" w:hAnsi="Arial" w:cs="Arial"/>
          <w:b/>
          <w:lang w:eastAsia="en-GB"/>
        </w:rPr>
      </w:pPr>
      <w:r w:rsidRPr="00EE4620">
        <w:rPr>
          <w:rFonts w:ascii="Arial" w:eastAsia="Times New Roman" w:hAnsi="Arial" w:cs="Arial"/>
          <w:b/>
          <w:lang w:eastAsia="en-GB"/>
        </w:rPr>
        <w:t xml:space="preserve">Table 23 – To what extent would you say you are confident that your own authority currently has the necessary skills and capacity to monitor its own performance and continuously improve?  </w:t>
      </w:r>
    </w:p>
    <w:p w14:paraId="18907CA8" w14:textId="77777777" w:rsidR="00EE4620" w:rsidRPr="00EE4620" w:rsidRDefault="00EE4620" w:rsidP="00EE4620">
      <w:pPr>
        <w:spacing w:after="0" w:line="240" w:lineRule="auto"/>
        <w:jc w:val="both"/>
        <w:rPr>
          <w:rFonts w:ascii="Arial" w:eastAsia="Times New Roman" w:hAnsi="Arial" w:cs="Arial"/>
          <w:sz w:val="24"/>
          <w:szCs w:val="24"/>
          <w:lang w:eastAsia="en-GB"/>
        </w:rPr>
      </w:pPr>
      <w:r w:rsidRPr="00EE4620">
        <w:rPr>
          <w:rFonts w:ascii="Arial" w:eastAsia="Times New Roman" w:hAnsi="Arial" w:cs="Times New Roman"/>
          <w:noProof/>
          <w:sz w:val="24"/>
          <w:szCs w:val="20"/>
          <w:lang w:eastAsia="en-GB"/>
        </w:rPr>
        <w:drawing>
          <wp:inline distT="0" distB="0" distL="0" distR="0" wp14:anchorId="18907D16" wp14:editId="18907D17">
            <wp:extent cx="5278120" cy="4952522"/>
            <wp:effectExtent l="0" t="0" r="0" b="63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8907CA9" w14:textId="77777777" w:rsidR="00EE4620" w:rsidRPr="00EE4620" w:rsidRDefault="00EE4620" w:rsidP="00EE4620">
      <w:pPr>
        <w:spacing w:after="0" w:line="240" w:lineRule="auto"/>
        <w:jc w:val="both"/>
        <w:rPr>
          <w:rFonts w:ascii="Arial" w:eastAsia="Times New Roman" w:hAnsi="Arial" w:cs="Arial"/>
          <w:sz w:val="24"/>
          <w:szCs w:val="24"/>
          <w:lang w:eastAsia="en-GB"/>
        </w:rPr>
      </w:pPr>
    </w:p>
    <w:p w14:paraId="18907CAA" w14:textId="55B15405" w:rsidR="00EE4620" w:rsidRPr="00EE4620" w:rsidRDefault="00EE4620" w:rsidP="001677EA">
      <w:pPr>
        <w:numPr>
          <w:ilvl w:val="0"/>
          <w:numId w:val="3"/>
        </w:numPr>
        <w:spacing w:before="120" w:after="360" w:line="240" w:lineRule="auto"/>
        <w:ind w:left="567" w:hanging="567"/>
        <w:contextualSpacing/>
        <w:rPr>
          <w:rFonts w:ascii="Arial" w:eastAsia="Times New Roman" w:hAnsi="Arial" w:cs="Arial"/>
          <w:lang w:eastAsia="en-GB"/>
        </w:rPr>
      </w:pPr>
      <w:r w:rsidRPr="00EE4620">
        <w:rPr>
          <w:rFonts w:ascii="Arial" w:eastAsia="Times New Roman" w:hAnsi="Arial" w:cs="Arial"/>
          <w:lang w:eastAsia="en-GB"/>
        </w:rPr>
        <w:lastRenderedPageBreak/>
        <w:t>Four-fifths of respondents (</w:t>
      </w:r>
      <w:r w:rsidRPr="00EE4620">
        <w:rPr>
          <w:rFonts w:ascii="Arial" w:eastAsia="Times New Roman" w:hAnsi="Arial" w:cs="Arial"/>
          <w:b/>
          <w:lang w:eastAsia="en-GB"/>
        </w:rPr>
        <w:t>80 per cent</w:t>
      </w:r>
      <w:r w:rsidRPr="00EE4620">
        <w:rPr>
          <w:rFonts w:ascii="Arial" w:eastAsia="Times New Roman" w:hAnsi="Arial" w:cs="Arial"/>
          <w:lang w:eastAsia="en-GB"/>
        </w:rPr>
        <w:t xml:space="preserve">) are confident that the local </w:t>
      </w:r>
      <w:r w:rsidRPr="00EE4620">
        <w:rPr>
          <w:rFonts w:ascii="Arial" w:eastAsia="Times New Roman" w:hAnsi="Arial" w:cs="Arial"/>
          <w:lang w:eastAsia="en-GB"/>
        </w:rPr>
        <w:tab/>
        <w:t>government sector has the necessary skills and capacity to monitor its own performance and continuously improve.  This is similar to the figure in 2012.</w:t>
      </w:r>
    </w:p>
    <w:p w14:paraId="18907CAB" w14:textId="77777777" w:rsidR="00EE4620" w:rsidRPr="00EE4620" w:rsidRDefault="00EE4620" w:rsidP="00EE4620">
      <w:pPr>
        <w:spacing w:after="0" w:line="240" w:lineRule="auto"/>
        <w:jc w:val="both"/>
        <w:rPr>
          <w:rFonts w:ascii="Arial" w:eastAsia="Times New Roman" w:hAnsi="Arial" w:cs="Arial"/>
          <w:lang w:eastAsia="en-GB"/>
        </w:rPr>
      </w:pPr>
    </w:p>
    <w:p w14:paraId="18907CAC" w14:textId="609D9F0F" w:rsidR="00EE4620" w:rsidRPr="001677EA" w:rsidRDefault="00EE4620" w:rsidP="001677EA">
      <w:pPr>
        <w:numPr>
          <w:ilvl w:val="0"/>
          <w:numId w:val="3"/>
        </w:numPr>
        <w:spacing w:before="120" w:after="360" w:line="240" w:lineRule="auto"/>
        <w:ind w:left="567" w:hanging="567"/>
        <w:contextualSpacing/>
        <w:rPr>
          <w:rFonts w:ascii="Arial" w:eastAsia="Times New Roman" w:hAnsi="Arial" w:cs="Arial"/>
          <w:lang w:eastAsia="en-GB"/>
        </w:rPr>
      </w:pPr>
      <w:r w:rsidRPr="00EE4620">
        <w:rPr>
          <w:rFonts w:ascii="Arial" w:eastAsia="Times New Roman" w:hAnsi="Arial" w:cs="Arial"/>
          <w:lang w:eastAsia="en-GB"/>
        </w:rPr>
        <w:t xml:space="preserve">Respondents in the </w:t>
      </w:r>
      <w:r w:rsidRPr="00EE4620">
        <w:rPr>
          <w:rFonts w:ascii="Arial" w:eastAsia="Times New Roman" w:hAnsi="Arial" w:cs="Arial"/>
          <w:b/>
          <w:lang w:eastAsia="en-GB"/>
        </w:rPr>
        <w:t>East Midlands</w:t>
      </w:r>
      <w:r w:rsidRPr="00EE4620">
        <w:rPr>
          <w:rFonts w:ascii="Arial" w:eastAsia="Times New Roman" w:hAnsi="Arial" w:cs="Arial"/>
          <w:lang w:eastAsia="en-GB"/>
        </w:rPr>
        <w:t xml:space="preserve"> are most confident (</w:t>
      </w:r>
      <w:r w:rsidRPr="00EE4620">
        <w:rPr>
          <w:rFonts w:ascii="Arial" w:eastAsia="Times New Roman" w:hAnsi="Arial" w:cs="Arial"/>
          <w:b/>
          <w:lang w:eastAsia="en-GB"/>
        </w:rPr>
        <w:t>35 per cent)</w:t>
      </w:r>
      <w:r w:rsidRPr="00EE4620">
        <w:rPr>
          <w:rFonts w:ascii="Arial" w:eastAsia="Times New Roman" w:hAnsi="Arial" w:cs="Arial"/>
          <w:lang w:eastAsia="en-GB"/>
        </w:rPr>
        <w:t xml:space="preserve"> and</w:t>
      </w:r>
      <w:r w:rsidR="001677EA">
        <w:rPr>
          <w:rFonts w:ascii="Arial" w:eastAsia="Times New Roman" w:hAnsi="Arial" w:cs="Arial"/>
          <w:lang w:eastAsia="en-GB"/>
        </w:rPr>
        <w:t xml:space="preserve"> </w:t>
      </w:r>
      <w:r w:rsidRPr="00EE4620">
        <w:rPr>
          <w:rFonts w:ascii="Arial" w:eastAsia="Times New Roman" w:hAnsi="Arial" w:cs="Arial"/>
          <w:lang w:eastAsia="en-GB"/>
        </w:rPr>
        <w:t>those</w:t>
      </w:r>
      <w:r>
        <w:rPr>
          <w:rFonts w:ascii="Arial" w:eastAsia="Times New Roman" w:hAnsi="Arial" w:cs="Arial"/>
          <w:lang w:eastAsia="en-GB"/>
        </w:rPr>
        <w:t xml:space="preserve"> </w:t>
      </w:r>
      <w:r w:rsidRPr="00EE4620">
        <w:rPr>
          <w:rFonts w:ascii="Arial" w:eastAsia="Times New Roman" w:hAnsi="Arial" w:cs="Arial"/>
          <w:lang w:eastAsia="en-GB"/>
        </w:rPr>
        <w:t xml:space="preserve">in </w:t>
      </w:r>
      <w:r w:rsidRPr="001677EA">
        <w:rPr>
          <w:rFonts w:ascii="Arial" w:eastAsia="Times New Roman" w:hAnsi="Arial" w:cs="Arial"/>
          <w:lang w:eastAsia="en-GB"/>
        </w:rPr>
        <w:t xml:space="preserve">the </w:t>
      </w:r>
      <w:r w:rsidRPr="001677EA">
        <w:rPr>
          <w:rFonts w:ascii="Arial" w:eastAsia="Times New Roman" w:hAnsi="Arial" w:cs="Arial"/>
          <w:b/>
          <w:lang w:eastAsia="en-GB"/>
        </w:rPr>
        <w:t>North East</w:t>
      </w:r>
      <w:r w:rsidRPr="001677EA">
        <w:rPr>
          <w:rFonts w:ascii="Arial" w:eastAsia="Times New Roman" w:hAnsi="Arial" w:cs="Arial"/>
          <w:lang w:eastAsia="en-GB"/>
        </w:rPr>
        <w:t xml:space="preserve"> (</w:t>
      </w:r>
      <w:r w:rsidRPr="001677EA">
        <w:rPr>
          <w:rFonts w:ascii="Arial" w:eastAsia="Times New Roman" w:hAnsi="Arial" w:cs="Arial"/>
          <w:b/>
          <w:lang w:eastAsia="en-GB"/>
        </w:rPr>
        <w:t>20 per cent</w:t>
      </w:r>
      <w:r w:rsidRPr="001677EA">
        <w:rPr>
          <w:rFonts w:ascii="Arial" w:eastAsia="Times New Roman" w:hAnsi="Arial" w:cs="Arial"/>
          <w:lang w:eastAsia="en-GB"/>
        </w:rPr>
        <w:t>’) least confident.</w:t>
      </w:r>
    </w:p>
    <w:p w14:paraId="18907CAD" w14:textId="77777777" w:rsidR="00EE4620" w:rsidRPr="00EE4620" w:rsidRDefault="00EE4620" w:rsidP="00EE4620">
      <w:pPr>
        <w:spacing w:after="0" w:line="240" w:lineRule="auto"/>
        <w:jc w:val="both"/>
        <w:rPr>
          <w:rFonts w:ascii="Arial" w:eastAsia="Times New Roman" w:hAnsi="Arial" w:cs="Arial"/>
          <w:sz w:val="24"/>
          <w:szCs w:val="24"/>
          <w:lang w:eastAsia="en-GB"/>
        </w:rPr>
      </w:pPr>
    </w:p>
    <w:p w14:paraId="18907CAE" w14:textId="77777777" w:rsidR="00EE4620" w:rsidRPr="00EE4620" w:rsidRDefault="00EE4620" w:rsidP="00EE4620">
      <w:pPr>
        <w:spacing w:after="0" w:line="240" w:lineRule="auto"/>
        <w:jc w:val="both"/>
        <w:rPr>
          <w:rFonts w:ascii="Arial" w:eastAsia="Times New Roman" w:hAnsi="Arial" w:cs="Arial"/>
          <w:sz w:val="24"/>
          <w:szCs w:val="24"/>
          <w:lang w:eastAsia="en-GB"/>
        </w:rPr>
      </w:pPr>
    </w:p>
    <w:p w14:paraId="18907CAF" w14:textId="77777777" w:rsidR="00EE4620" w:rsidRPr="00EE4620" w:rsidRDefault="00EE4620" w:rsidP="00EE4620">
      <w:pPr>
        <w:spacing w:after="0" w:line="240" w:lineRule="auto"/>
        <w:rPr>
          <w:rFonts w:ascii="Arial" w:eastAsia="Times New Roman" w:hAnsi="Arial" w:cs="Times New Roman"/>
          <w:sz w:val="24"/>
          <w:szCs w:val="20"/>
          <w:lang w:eastAsia="en-GB"/>
        </w:rPr>
      </w:pPr>
      <w:r w:rsidRPr="00EE4620">
        <w:rPr>
          <w:rFonts w:ascii="Arial" w:eastAsia="Times New Roman" w:hAnsi="Arial" w:cs="Arial"/>
          <w:b/>
          <w:lang w:eastAsia="en-GB"/>
        </w:rPr>
        <w:t>Table 24 - To what extent would you say you are confident that the local government sector currently has the necessary skills and capacity to monitor its own performance and continuously improve?</w:t>
      </w:r>
      <w:r w:rsidRPr="00EE4620">
        <w:rPr>
          <w:rFonts w:ascii="Arial" w:eastAsia="Times New Roman" w:hAnsi="Arial" w:cs="Times New Roman"/>
          <w:noProof/>
          <w:sz w:val="24"/>
          <w:szCs w:val="20"/>
          <w:lang w:eastAsia="en-GB"/>
        </w:rPr>
        <w:drawing>
          <wp:inline distT="0" distB="0" distL="0" distR="0" wp14:anchorId="18907D18" wp14:editId="18907D19">
            <wp:extent cx="5734050" cy="5381625"/>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8907CB0" w14:textId="77777777" w:rsidR="00EE4620" w:rsidRPr="00EE4620" w:rsidRDefault="00EE4620" w:rsidP="00EE4620">
      <w:pPr>
        <w:spacing w:after="0" w:line="240" w:lineRule="auto"/>
        <w:ind w:hanging="11"/>
        <w:rPr>
          <w:rFonts w:ascii="Arial" w:eastAsia="Times New Roman" w:hAnsi="Arial" w:cs="Arial"/>
          <w:sz w:val="24"/>
          <w:szCs w:val="24"/>
          <w:lang w:eastAsia="en-GB"/>
        </w:rPr>
      </w:pPr>
    </w:p>
    <w:p w14:paraId="18907CB1" w14:textId="77777777" w:rsidR="00EE4620" w:rsidRPr="00EE4620" w:rsidRDefault="00EE4620" w:rsidP="00EE4620">
      <w:pPr>
        <w:spacing w:after="0" w:line="240" w:lineRule="auto"/>
        <w:ind w:hanging="11"/>
        <w:rPr>
          <w:rFonts w:ascii="Arial" w:eastAsia="Times New Roman" w:hAnsi="Arial" w:cs="Arial"/>
          <w:b/>
          <w:lang w:eastAsia="en-GB"/>
        </w:rPr>
      </w:pPr>
      <w:r w:rsidRPr="00EE4620">
        <w:rPr>
          <w:rFonts w:ascii="Arial" w:eastAsia="Times New Roman" w:hAnsi="Arial" w:cs="Arial"/>
          <w:b/>
          <w:lang w:eastAsia="en-GB"/>
        </w:rPr>
        <w:br w:type="page"/>
      </w:r>
    </w:p>
    <w:p w14:paraId="18907CB2" w14:textId="77777777" w:rsidR="00EE4620" w:rsidRPr="00EE4620" w:rsidRDefault="00EE4620" w:rsidP="00EE4620">
      <w:pPr>
        <w:spacing w:after="0" w:line="240" w:lineRule="auto"/>
        <w:ind w:hanging="11"/>
        <w:rPr>
          <w:rFonts w:ascii="Arial" w:eastAsia="Times New Roman" w:hAnsi="Arial" w:cs="Arial"/>
          <w:b/>
          <w:lang w:eastAsia="en-GB"/>
        </w:rPr>
      </w:pPr>
      <w:r w:rsidRPr="00EE4620">
        <w:rPr>
          <w:rFonts w:ascii="Arial" w:eastAsia="Times New Roman" w:hAnsi="Arial" w:cs="Arial"/>
          <w:b/>
          <w:lang w:eastAsia="en-GB"/>
        </w:rPr>
        <w:lastRenderedPageBreak/>
        <w:t>Awareness and satisfaction with the Centre for Public Scrutiny</w:t>
      </w:r>
    </w:p>
    <w:p w14:paraId="18907CB3" w14:textId="77777777" w:rsidR="00EE4620" w:rsidRPr="00EE4620" w:rsidRDefault="00EE4620" w:rsidP="00EE4620">
      <w:pPr>
        <w:spacing w:after="0" w:line="240" w:lineRule="auto"/>
        <w:ind w:hanging="11"/>
        <w:rPr>
          <w:rFonts w:ascii="Arial" w:eastAsia="Times New Roman" w:hAnsi="Arial" w:cs="Arial"/>
          <w:lang w:eastAsia="en-GB"/>
        </w:rPr>
      </w:pPr>
    </w:p>
    <w:p w14:paraId="18907CB4" w14:textId="529CF8E9" w:rsidR="00EE4620" w:rsidRPr="00EE4620" w:rsidRDefault="00EE4620" w:rsidP="00CF603D">
      <w:pPr>
        <w:numPr>
          <w:ilvl w:val="0"/>
          <w:numId w:val="3"/>
        </w:numPr>
        <w:spacing w:before="120" w:after="360" w:line="240" w:lineRule="auto"/>
        <w:ind w:left="567" w:hanging="567"/>
        <w:contextualSpacing/>
        <w:rPr>
          <w:rFonts w:ascii="Arial" w:eastAsia="Times New Roman" w:hAnsi="Arial" w:cs="Arial"/>
          <w:lang w:eastAsia="en-GB"/>
        </w:rPr>
      </w:pPr>
      <w:r w:rsidRPr="00EE4620">
        <w:rPr>
          <w:rFonts w:ascii="Arial" w:eastAsia="Times New Roman" w:hAnsi="Arial" w:cs="Arial"/>
          <w:lang w:eastAsia="en-GB"/>
        </w:rPr>
        <w:t>More than half the respondents (</w:t>
      </w:r>
      <w:r w:rsidRPr="00EE4620">
        <w:rPr>
          <w:rFonts w:ascii="Arial" w:eastAsia="Times New Roman" w:hAnsi="Arial" w:cs="Arial"/>
          <w:b/>
          <w:lang w:eastAsia="en-GB"/>
        </w:rPr>
        <w:t>54 per cent</w:t>
      </w:r>
      <w:r w:rsidRPr="00EE4620">
        <w:rPr>
          <w:rFonts w:ascii="Arial" w:eastAsia="Times New Roman" w:hAnsi="Arial" w:cs="Arial"/>
          <w:lang w:eastAsia="en-GB"/>
        </w:rPr>
        <w:t>) have heard of the Centre for Public Scrutiny (</w:t>
      </w:r>
      <w:proofErr w:type="spellStart"/>
      <w:r w:rsidRPr="00EE4620">
        <w:rPr>
          <w:rFonts w:ascii="Arial" w:eastAsia="Times New Roman" w:hAnsi="Arial" w:cs="Arial"/>
          <w:lang w:eastAsia="en-GB"/>
        </w:rPr>
        <w:t>CfPS</w:t>
      </w:r>
      <w:proofErr w:type="spellEnd"/>
      <w:r w:rsidRPr="00EE4620">
        <w:rPr>
          <w:rFonts w:ascii="Arial" w:eastAsia="Times New Roman" w:hAnsi="Arial" w:cs="Arial"/>
          <w:lang w:eastAsia="en-GB"/>
        </w:rPr>
        <w:t xml:space="preserve">). </w:t>
      </w:r>
    </w:p>
    <w:p w14:paraId="18907CB5" w14:textId="77777777" w:rsidR="00EE4620" w:rsidRPr="00EE4620" w:rsidRDefault="00EE4620" w:rsidP="00EE4620">
      <w:pPr>
        <w:spacing w:after="0" w:line="240" w:lineRule="auto"/>
        <w:rPr>
          <w:rFonts w:ascii="Arial" w:eastAsia="Times New Roman" w:hAnsi="Arial" w:cs="Arial"/>
          <w:lang w:eastAsia="en-GB"/>
        </w:rPr>
      </w:pPr>
    </w:p>
    <w:p w14:paraId="18907CB6" w14:textId="75F22B07" w:rsidR="00EE4620" w:rsidRPr="00EE4620" w:rsidRDefault="00EE4620" w:rsidP="001F3C97">
      <w:pPr>
        <w:numPr>
          <w:ilvl w:val="0"/>
          <w:numId w:val="3"/>
        </w:numPr>
        <w:spacing w:before="120" w:after="360" w:line="240" w:lineRule="auto"/>
        <w:ind w:left="567" w:hanging="567"/>
        <w:contextualSpacing/>
        <w:rPr>
          <w:rFonts w:ascii="Arial" w:eastAsia="Times New Roman" w:hAnsi="Arial" w:cstheme="minorHAnsi"/>
          <w:lang w:eastAsia="en-GB"/>
        </w:rPr>
      </w:pPr>
      <w:r w:rsidRPr="00EE4620">
        <w:rPr>
          <w:rFonts w:ascii="Arial" w:eastAsia="Times New Roman" w:hAnsi="Arial" w:cstheme="minorHAnsi"/>
          <w:lang w:eastAsia="en-GB"/>
        </w:rPr>
        <w:t xml:space="preserve">Of those who were aware of their councils’ use of services provided by the </w:t>
      </w:r>
      <w:proofErr w:type="spellStart"/>
      <w:r w:rsidRPr="00EE4620">
        <w:rPr>
          <w:rFonts w:ascii="Arial" w:eastAsia="Times New Roman" w:hAnsi="Arial" w:cstheme="minorHAnsi"/>
          <w:lang w:eastAsia="en-GB"/>
        </w:rPr>
        <w:t>CfPS</w:t>
      </w:r>
      <w:proofErr w:type="spellEnd"/>
      <w:r w:rsidRPr="00EE4620">
        <w:rPr>
          <w:rFonts w:ascii="Arial" w:eastAsia="Times New Roman" w:hAnsi="Arial" w:cstheme="minorHAnsi"/>
          <w:lang w:eastAsia="en-GB"/>
        </w:rPr>
        <w:t xml:space="preserve">, </w:t>
      </w:r>
      <w:r w:rsidRPr="00EE4620">
        <w:rPr>
          <w:rFonts w:ascii="Arial" w:eastAsia="Times New Roman" w:hAnsi="Arial" w:cstheme="minorHAnsi"/>
          <w:b/>
          <w:lang w:eastAsia="en-GB"/>
        </w:rPr>
        <w:t xml:space="preserve">79 per cent </w:t>
      </w:r>
      <w:r w:rsidRPr="00EE4620">
        <w:rPr>
          <w:rFonts w:ascii="Arial" w:eastAsia="Times New Roman" w:hAnsi="Arial" w:cstheme="minorHAnsi"/>
          <w:lang w:eastAsia="en-GB"/>
        </w:rPr>
        <w:t xml:space="preserve">are satisfied with them. </w:t>
      </w:r>
    </w:p>
    <w:p w14:paraId="18907CB7" w14:textId="77777777" w:rsidR="00EE4620" w:rsidRPr="00EE4620" w:rsidRDefault="00EE4620" w:rsidP="00EE4620">
      <w:pPr>
        <w:spacing w:after="0" w:line="240" w:lineRule="auto"/>
        <w:rPr>
          <w:rFonts w:ascii="Arial" w:eastAsia="Times New Roman" w:hAnsi="Arial" w:cs="Arial"/>
          <w:lang w:eastAsia="en-GB"/>
        </w:rPr>
      </w:pPr>
    </w:p>
    <w:p w14:paraId="18907CB8" w14:textId="05708282" w:rsidR="00EE4620" w:rsidRPr="00EE4620" w:rsidRDefault="00EE4620" w:rsidP="001F3C97">
      <w:pPr>
        <w:numPr>
          <w:ilvl w:val="0"/>
          <w:numId w:val="3"/>
        </w:numPr>
        <w:spacing w:before="120" w:after="360" w:line="240" w:lineRule="auto"/>
        <w:ind w:left="567" w:hanging="567"/>
        <w:contextualSpacing/>
        <w:rPr>
          <w:rFonts w:ascii="Arial" w:eastAsia="Times New Roman" w:hAnsi="Arial" w:cs="Arial"/>
          <w:szCs w:val="20"/>
          <w:lang w:eastAsia="en-GB"/>
        </w:rPr>
      </w:pPr>
      <w:r w:rsidRPr="00EE4620">
        <w:rPr>
          <w:rFonts w:ascii="Arial" w:eastAsia="Times New Roman" w:hAnsi="Arial" w:cs="Arial"/>
          <w:b/>
          <w:szCs w:val="20"/>
          <w:lang w:eastAsia="en-GB"/>
        </w:rPr>
        <w:t xml:space="preserve">Backbench councillors </w:t>
      </w:r>
      <w:r w:rsidRPr="00EE4620">
        <w:rPr>
          <w:rFonts w:ascii="Arial" w:eastAsia="Times New Roman" w:hAnsi="Arial" w:cs="Arial"/>
          <w:szCs w:val="20"/>
          <w:lang w:eastAsia="en-GB"/>
        </w:rPr>
        <w:t xml:space="preserve">are significantly less likely than </w:t>
      </w:r>
      <w:r w:rsidRPr="00EE4620">
        <w:rPr>
          <w:rFonts w:ascii="Arial" w:eastAsia="Times New Roman" w:hAnsi="Arial" w:cs="Arial"/>
          <w:b/>
          <w:szCs w:val="20"/>
          <w:lang w:eastAsia="en-GB"/>
        </w:rPr>
        <w:t>officers</w:t>
      </w:r>
      <w:r w:rsidRPr="00EE4620">
        <w:rPr>
          <w:rFonts w:ascii="Arial" w:eastAsia="Times New Roman" w:hAnsi="Arial" w:cs="Arial"/>
          <w:szCs w:val="20"/>
          <w:lang w:eastAsia="en-GB"/>
        </w:rPr>
        <w:t xml:space="preserve"> and </w:t>
      </w:r>
      <w:r w:rsidRPr="00EE4620">
        <w:rPr>
          <w:rFonts w:ascii="Arial" w:eastAsia="Times New Roman" w:hAnsi="Arial" w:cs="Arial"/>
          <w:b/>
          <w:szCs w:val="20"/>
          <w:lang w:eastAsia="en-GB"/>
        </w:rPr>
        <w:t>frontbench councillors</w:t>
      </w:r>
      <w:r w:rsidRPr="00EE4620">
        <w:rPr>
          <w:rFonts w:ascii="Arial" w:eastAsia="Times New Roman" w:hAnsi="Arial" w:cs="Arial"/>
          <w:szCs w:val="20"/>
          <w:lang w:eastAsia="en-GB"/>
        </w:rPr>
        <w:t xml:space="preserve"> to have heard of the </w:t>
      </w:r>
      <w:proofErr w:type="spellStart"/>
      <w:r w:rsidRPr="00EE4620">
        <w:rPr>
          <w:rFonts w:ascii="Arial" w:eastAsia="Times New Roman" w:hAnsi="Arial" w:cs="Arial"/>
          <w:szCs w:val="20"/>
          <w:lang w:eastAsia="en-GB"/>
        </w:rPr>
        <w:t>CfPS</w:t>
      </w:r>
      <w:proofErr w:type="spellEnd"/>
      <w:r w:rsidRPr="00EE4620">
        <w:rPr>
          <w:rFonts w:ascii="Arial" w:eastAsia="Times New Roman" w:hAnsi="Arial" w:cs="Arial"/>
          <w:szCs w:val="20"/>
          <w:lang w:eastAsia="en-GB"/>
        </w:rPr>
        <w:t xml:space="preserve"> (</w:t>
      </w:r>
      <w:r w:rsidRPr="00EE4620">
        <w:rPr>
          <w:rFonts w:ascii="Arial" w:eastAsia="Times New Roman" w:hAnsi="Arial" w:cs="Arial"/>
          <w:b/>
          <w:szCs w:val="20"/>
          <w:lang w:eastAsia="en-GB"/>
        </w:rPr>
        <w:t>42 per cent</w:t>
      </w:r>
      <w:r w:rsidRPr="00EE4620">
        <w:rPr>
          <w:rFonts w:ascii="Arial" w:eastAsia="Times New Roman" w:hAnsi="Arial" w:cs="Arial"/>
          <w:szCs w:val="20"/>
          <w:lang w:eastAsia="en-GB"/>
        </w:rPr>
        <w:t xml:space="preserve"> compared with 54 per cent and 66 per cent respectively).</w:t>
      </w:r>
    </w:p>
    <w:p w14:paraId="18907CB9" w14:textId="77777777" w:rsidR="00EE4620" w:rsidRPr="00EE4620" w:rsidRDefault="00EE4620" w:rsidP="00EE4620">
      <w:pPr>
        <w:spacing w:after="0" w:line="240" w:lineRule="auto"/>
        <w:rPr>
          <w:rFonts w:ascii="Arial" w:eastAsia="Times New Roman" w:hAnsi="Arial" w:cs="Arial"/>
          <w:szCs w:val="20"/>
          <w:lang w:eastAsia="en-GB"/>
        </w:rPr>
      </w:pPr>
    </w:p>
    <w:p w14:paraId="18907CBA" w14:textId="1B6E543C" w:rsidR="00EE4620" w:rsidRPr="00EE4620" w:rsidRDefault="00EE4620" w:rsidP="00016691">
      <w:pPr>
        <w:numPr>
          <w:ilvl w:val="0"/>
          <w:numId w:val="3"/>
        </w:numPr>
        <w:spacing w:before="120" w:after="360" w:line="240" w:lineRule="auto"/>
        <w:ind w:left="567" w:hanging="567"/>
        <w:contextualSpacing/>
        <w:rPr>
          <w:rFonts w:ascii="Arial" w:eastAsia="Times New Roman" w:hAnsi="Arial" w:cs="Times New Roman"/>
          <w:b/>
          <w:szCs w:val="20"/>
          <w:lang w:eastAsia="en-GB"/>
        </w:rPr>
      </w:pPr>
      <w:r w:rsidRPr="00EE4620">
        <w:rPr>
          <w:rFonts w:ascii="Arial" w:eastAsia="Times New Roman" w:hAnsi="Arial" w:cs="Arial"/>
          <w:szCs w:val="20"/>
          <w:lang w:eastAsia="en-GB"/>
        </w:rPr>
        <w:t xml:space="preserve">Awareness is significantly higher amongst </w:t>
      </w:r>
      <w:r w:rsidRPr="00EE4620">
        <w:rPr>
          <w:rFonts w:ascii="Arial" w:eastAsia="Times New Roman" w:hAnsi="Arial" w:cs="Arial"/>
          <w:b/>
          <w:szCs w:val="20"/>
          <w:lang w:eastAsia="en-GB"/>
        </w:rPr>
        <w:t>chief executives</w:t>
      </w:r>
      <w:r w:rsidRPr="00EE4620">
        <w:rPr>
          <w:rFonts w:ascii="Arial" w:eastAsia="Times New Roman" w:hAnsi="Arial" w:cs="Arial"/>
          <w:szCs w:val="20"/>
          <w:lang w:eastAsia="en-GB"/>
        </w:rPr>
        <w:t xml:space="preserve"> (</w:t>
      </w:r>
      <w:r w:rsidRPr="00EE4620">
        <w:rPr>
          <w:rFonts w:ascii="Arial" w:eastAsia="Times New Roman" w:hAnsi="Arial" w:cs="Arial"/>
          <w:b/>
          <w:szCs w:val="20"/>
          <w:lang w:eastAsia="en-GB"/>
        </w:rPr>
        <w:t>79 per cent</w:t>
      </w:r>
      <w:r w:rsidRPr="00EE4620">
        <w:rPr>
          <w:rFonts w:ascii="Arial" w:eastAsia="Times New Roman" w:hAnsi="Arial" w:cs="Arial"/>
          <w:szCs w:val="20"/>
          <w:lang w:eastAsia="en-GB"/>
        </w:rPr>
        <w:t xml:space="preserve">) and </w:t>
      </w:r>
      <w:r w:rsidRPr="00EE4620">
        <w:rPr>
          <w:rFonts w:ascii="Arial" w:eastAsia="Times New Roman" w:hAnsi="Arial" w:cs="Arial"/>
          <w:b/>
          <w:szCs w:val="20"/>
          <w:lang w:eastAsia="en-GB"/>
        </w:rPr>
        <w:t>chairs of scrutiny</w:t>
      </w:r>
      <w:r w:rsidRPr="00EE4620">
        <w:rPr>
          <w:rFonts w:ascii="Arial" w:eastAsia="Times New Roman" w:hAnsi="Arial" w:cs="Arial"/>
          <w:szCs w:val="20"/>
          <w:lang w:eastAsia="en-GB"/>
        </w:rPr>
        <w:t xml:space="preserve"> (</w:t>
      </w:r>
      <w:r w:rsidRPr="00EE4620">
        <w:rPr>
          <w:rFonts w:ascii="Arial" w:eastAsia="Times New Roman" w:hAnsi="Arial" w:cs="Arial"/>
          <w:b/>
          <w:szCs w:val="20"/>
          <w:lang w:eastAsia="en-GB"/>
        </w:rPr>
        <w:t>76 per cent</w:t>
      </w:r>
      <w:r w:rsidRPr="00EE4620">
        <w:rPr>
          <w:rFonts w:ascii="Arial" w:eastAsia="Times New Roman" w:hAnsi="Arial" w:cs="Arial"/>
          <w:szCs w:val="20"/>
          <w:lang w:eastAsia="en-GB"/>
        </w:rPr>
        <w:t>).</w:t>
      </w:r>
    </w:p>
    <w:p w14:paraId="18907CBB" w14:textId="77777777" w:rsidR="00EE4620" w:rsidRPr="00EE4620" w:rsidRDefault="00EE4620" w:rsidP="00EE4620">
      <w:pPr>
        <w:spacing w:after="0" w:line="240" w:lineRule="auto"/>
        <w:rPr>
          <w:rFonts w:ascii="Arial" w:eastAsia="Times New Roman" w:hAnsi="Arial" w:cs="Arial"/>
          <w:szCs w:val="20"/>
          <w:lang w:eastAsia="en-GB"/>
        </w:rPr>
      </w:pPr>
    </w:p>
    <w:p w14:paraId="18907CBC" w14:textId="4FF2CBC9" w:rsidR="00EE4620" w:rsidRPr="00EE4620" w:rsidRDefault="00EE4620" w:rsidP="00016691">
      <w:pPr>
        <w:numPr>
          <w:ilvl w:val="0"/>
          <w:numId w:val="3"/>
        </w:numPr>
        <w:spacing w:before="120" w:after="360" w:line="240" w:lineRule="auto"/>
        <w:ind w:left="567" w:hanging="567"/>
        <w:contextualSpacing/>
        <w:rPr>
          <w:rFonts w:ascii="Arial" w:eastAsia="Times New Roman" w:hAnsi="Arial" w:cs="Arial"/>
          <w:szCs w:val="20"/>
          <w:lang w:eastAsia="en-GB"/>
        </w:rPr>
      </w:pPr>
      <w:r w:rsidRPr="00EE4620">
        <w:rPr>
          <w:rFonts w:ascii="Arial" w:eastAsia="Times New Roman" w:hAnsi="Arial" w:cs="Arial"/>
          <w:szCs w:val="20"/>
          <w:lang w:eastAsia="en-GB"/>
        </w:rPr>
        <w:t xml:space="preserve">The proportion of respondents who had heard about the </w:t>
      </w:r>
      <w:proofErr w:type="spellStart"/>
      <w:r w:rsidRPr="00EE4620">
        <w:rPr>
          <w:rFonts w:ascii="Arial" w:eastAsia="Times New Roman" w:hAnsi="Arial" w:cs="Arial"/>
          <w:szCs w:val="20"/>
          <w:lang w:eastAsia="en-GB"/>
        </w:rPr>
        <w:t>CfPS</w:t>
      </w:r>
      <w:proofErr w:type="spellEnd"/>
      <w:r w:rsidRPr="00EE4620">
        <w:rPr>
          <w:rFonts w:ascii="Arial" w:eastAsia="Times New Roman" w:hAnsi="Arial" w:cs="Arial"/>
          <w:szCs w:val="20"/>
          <w:lang w:eastAsia="en-GB"/>
        </w:rPr>
        <w:t xml:space="preserve"> is highest in the </w:t>
      </w:r>
      <w:r w:rsidRPr="00EE4620">
        <w:rPr>
          <w:rFonts w:ascii="Arial" w:eastAsia="Times New Roman" w:hAnsi="Arial" w:cs="Arial"/>
          <w:b/>
          <w:szCs w:val="20"/>
          <w:lang w:eastAsia="en-GB"/>
        </w:rPr>
        <w:t>South West</w:t>
      </w:r>
      <w:r w:rsidRPr="00EE4620">
        <w:rPr>
          <w:rFonts w:ascii="Arial" w:eastAsia="Times New Roman" w:hAnsi="Arial" w:cs="Arial"/>
          <w:szCs w:val="20"/>
          <w:lang w:eastAsia="en-GB"/>
        </w:rPr>
        <w:t xml:space="preserve"> (</w:t>
      </w:r>
      <w:r w:rsidRPr="00EE4620">
        <w:rPr>
          <w:rFonts w:ascii="Arial" w:eastAsia="Times New Roman" w:hAnsi="Arial" w:cs="Arial"/>
          <w:b/>
          <w:szCs w:val="20"/>
          <w:lang w:eastAsia="en-GB"/>
        </w:rPr>
        <w:t>61 per cent</w:t>
      </w:r>
      <w:r w:rsidRPr="00EE4620">
        <w:rPr>
          <w:rFonts w:ascii="Arial" w:eastAsia="Times New Roman" w:hAnsi="Arial" w:cs="Arial"/>
          <w:szCs w:val="20"/>
          <w:lang w:eastAsia="en-GB"/>
        </w:rPr>
        <w:t xml:space="preserve">) and </w:t>
      </w:r>
      <w:r w:rsidRPr="00EE4620">
        <w:rPr>
          <w:rFonts w:ascii="Arial" w:eastAsia="Times New Roman" w:hAnsi="Arial" w:cs="Arial"/>
          <w:b/>
          <w:szCs w:val="20"/>
          <w:lang w:eastAsia="en-GB"/>
        </w:rPr>
        <w:t xml:space="preserve">North West </w:t>
      </w:r>
      <w:r w:rsidRPr="00EE4620">
        <w:rPr>
          <w:rFonts w:ascii="Arial" w:eastAsia="Times New Roman" w:hAnsi="Arial" w:cs="Arial"/>
          <w:szCs w:val="20"/>
          <w:lang w:eastAsia="en-GB"/>
        </w:rPr>
        <w:t>(</w:t>
      </w:r>
      <w:r w:rsidRPr="00EE4620">
        <w:rPr>
          <w:rFonts w:ascii="Arial" w:eastAsia="Times New Roman" w:hAnsi="Arial" w:cs="Arial"/>
          <w:b/>
          <w:szCs w:val="20"/>
          <w:lang w:eastAsia="en-GB"/>
        </w:rPr>
        <w:t>58 per cent</w:t>
      </w:r>
      <w:r w:rsidRPr="00EE4620">
        <w:rPr>
          <w:rFonts w:ascii="Arial" w:eastAsia="Times New Roman" w:hAnsi="Arial" w:cs="Arial"/>
          <w:szCs w:val="20"/>
          <w:lang w:eastAsia="en-GB"/>
        </w:rPr>
        <w:t>).</w:t>
      </w:r>
    </w:p>
    <w:p w14:paraId="18907CBD" w14:textId="77777777" w:rsidR="00EE4620" w:rsidRPr="00EE4620" w:rsidRDefault="00EE4620" w:rsidP="00EE4620">
      <w:pPr>
        <w:spacing w:after="0" w:line="240" w:lineRule="auto"/>
        <w:rPr>
          <w:rFonts w:ascii="Arial" w:eastAsia="Times New Roman" w:hAnsi="Arial" w:cs="Arial"/>
          <w:szCs w:val="20"/>
          <w:lang w:eastAsia="en-GB"/>
        </w:rPr>
      </w:pPr>
    </w:p>
    <w:p w14:paraId="18907CBE" w14:textId="588133A0" w:rsidR="00EE4620" w:rsidRPr="00EE4620" w:rsidRDefault="00016691" w:rsidP="00016691">
      <w:pPr>
        <w:numPr>
          <w:ilvl w:val="0"/>
          <w:numId w:val="3"/>
        </w:numPr>
        <w:spacing w:before="120" w:after="360" w:line="240" w:lineRule="auto"/>
        <w:ind w:left="567" w:hanging="567"/>
        <w:contextualSpacing/>
        <w:rPr>
          <w:rFonts w:ascii="Arial" w:eastAsia="Times New Roman" w:hAnsi="Arial" w:cs="Arial"/>
          <w:szCs w:val="20"/>
          <w:lang w:eastAsia="en-GB"/>
        </w:rPr>
      </w:pPr>
      <w:r>
        <w:rPr>
          <w:rFonts w:ascii="Arial" w:eastAsia="Times New Roman" w:hAnsi="Arial" w:cs="Arial"/>
          <w:szCs w:val="20"/>
          <w:lang w:eastAsia="en-GB"/>
        </w:rPr>
        <w:t>T</w:t>
      </w:r>
      <w:r w:rsidR="00EE4620" w:rsidRPr="00EE4620">
        <w:rPr>
          <w:rFonts w:ascii="Arial" w:eastAsia="Times New Roman" w:hAnsi="Arial" w:cs="Arial"/>
          <w:szCs w:val="20"/>
          <w:lang w:eastAsia="en-GB"/>
        </w:rPr>
        <w:t xml:space="preserve">he proportion is lowest in the </w:t>
      </w:r>
      <w:r w:rsidR="00EE4620" w:rsidRPr="00EE4620">
        <w:rPr>
          <w:rFonts w:ascii="Arial" w:eastAsia="Times New Roman" w:hAnsi="Arial" w:cs="Arial"/>
          <w:b/>
          <w:szCs w:val="20"/>
          <w:lang w:eastAsia="en-GB"/>
        </w:rPr>
        <w:t>South East</w:t>
      </w:r>
      <w:r w:rsidR="00EE4620" w:rsidRPr="00EE4620">
        <w:rPr>
          <w:rFonts w:ascii="Arial" w:eastAsia="Times New Roman" w:hAnsi="Arial" w:cs="Arial"/>
          <w:szCs w:val="20"/>
          <w:lang w:eastAsia="en-GB"/>
        </w:rPr>
        <w:t xml:space="preserve"> (45 per cent).</w:t>
      </w:r>
    </w:p>
    <w:p w14:paraId="18907CBF" w14:textId="77777777" w:rsidR="00EE4620" w:rsidRPr="00EE4620" w:rsidRDefault="00EE4620" w:rsidP="00EE4620">
      <w:pPr>
        <w:spacing w:after="0" w:line="240" w:lineRule="auto"/>
        <w:rPr>
          <w:rFonts w:ascii="Arial" w:eastAsia="Times New Roman" w:hAnsi="Arial" w:cstheme="minorHAnsi"/>
          <w:b/>
          <w:lang w:eastAsia="en-GB"/>
        </w:rPr>
      </w:pPr>
    </w:p>
    <w:p w14:paraId="18907CC0" w14:textId="77777777" w:rsidR="00EE4620" w:rsidRPr="00EE4620" w:rsidRDefault="00EE4620" w:rsidP="00EE4620">
      <w:pPr>
        <w:spacing w:after="0" w:line="240" w:lineRule="auto"/>
        <w:rPr>
          <w:rFonts w:ascii="Arial" w:eastAsia="Times New Roman" w:hAnsi="Arial" w:cstheme="minorHAnsi"/>
          <w:b/>
          <w:lang w:eastAsia="en-GB"/>
        </w:rPr>
      </w:pPr>
      <w:r w:rsidRPr="00EE4620">
        <w:rPr>
          <w:rFonts w:ascii="Arial" w:eastAsia="Times New Roman" w:hAnsi="Arial" w:cstheme="minorHAnsi"/>
          <w:b/>
          <w:lang w:eastAsia="en-GB"/>
        </w:rPr>
        <w:t xml:space="preserve">Table 25 – How satisfied or dissatisfied are you with the services provided by the Centre for Public Scrutiny?  </w:t>
      </w:r>
    </w:p>
    <w:p w14:paraId="18907CC1" w14:textId="77777777" w:rsidR="00EE4620" w:rsidRPr="00EE4620" w:rsidRDefault="00EE4620" w:rsidP="00EE4620">
      <w:pPr>
        <w:spacing w:before="120" w:after="120"/>
        <w:jc w:val="both"/>
        <w:rPr>
          <w:rFonts w:ascii="Arial" w:eastAsia="Arial" w:hAnsi="Arial" w:cs="Times New Roman"/>
          <w:sz w:val="24"/>
        </w:rPr>
      </w:pPr>
      <w:r w:rsidRPr="00EE4620">
        <w:rPr>
          <w:rFonts w:ascii="Arial" w:eastAsia="Arial" w:hAnsi="Arial" w:cs="Times New Roman"/>
          <w:noProof/>
          <w:sz w:val="24"/>
          <w:lang w:eastAsia="en-GB"/>
        </w:rPr>
        <w:drawing>
          <wp:inline distT="0" distB="0" distL="0" distR="0" wp14:anchorId="18907D1A" wp14:editId="18907D1B">
            <wp:extent cx="5810250" cy="3362325"/>
            <wp:effectExtent l="0" t="0" r="0" b="0"/>
            <wp:docPr id="22"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8907CC2" w14:textId="77777777" w:rsidR="00EE4620" w:rsidRPr="00EE4620" w:rsidRDefault="00EE4620" w:rsidP="00EE4620">
      <w:pPr>
        <w:spacing w:after="0" w:line="240" w:lineRule="auto"/>
        <w:rPr>
          <w:rFonts w:ascii="Arial" w:eastAsia="Times New Roman" w:hAnsi="Arial" w:cs="Times New Roman"/>
          <w:b/>
          <w:lang w:eastAsia="en-GB"/>
        </w:rPr>
      </w:pPr>
      <w:r w:rsidRPr="00EE4620">
        <w:rPr>
          <w:rFonts w:ascii="Arial" w:eastAsia="Times New Roman" w:hAnsi="Arial" w:cs="Times New Roman"/>
          <w:b/>
          <w:lang w:eastAsia="en-GB"/>
        </w:rPr>
        <w:t>Awareness and satisfaction with Local Partnerships</w:t>
      </w:r>
    </w:p>
    <w:p w14:paraId="18907CC3" w14:textId="77777777" w:rsidR="00EE4620" w:rsidRPr="00EE4620" w:rsidRDefault="00EE4620" w:rsidP="00EE4620">
      <w:pPr>
        <w:spacing w:after="0" w:line="240" w:lineRule="auto"/>
        <w:rPr>
          <w:rFonts w:ascii="Arial" w:eastAsia="Times New Roman" w:hAnsi="Arial" w:cs="Times New Roman"/>
          <w:lang w:eastAsia="en-GB"/>
        </w:rPr>
      </w:pPr>
      <w:r w:rsidRPr="00EE4620">
        <w:rPr>
          <w:rFonts w:ascii="Arial" w:eastAsia="Times New Roman" w:hAnsi="Arial" w:cs="Times New Roman"/>
          <w:lang w:eastAsia="en-GB"/>
        </w:rPr>
        <w:tab/>
      </w:r>
    </w:p>
    <w:p w14:paraId="18907CC4" w14:textId="5E9E32DC" w:rsidR="00EE4620" w:rsidRPr="00EE4620" w:rsidRDefault="00EE4620" w:rsidP="00016691">
      <w:pPr>
        <w:numPr>
          <w:ilvl w:val="0"/>
          <w:numId w:val="3"/>
        </w:numPr>
        <w:spacing w:before="120" w:after="360" w:line="240" w:lineRule="auto"/>
        <w:ind w:left="567" w:hanging="567"/>
        <w:contextualSpacing/>
        <w:rPr>
          <w:rFonts w:ascii="Arial" w:eastAsia="Times New Roman" w:hAnsi="Arial" w:cs="Times New Roman"/>
          <w:lang w:eastAsia="en-GB"/>
        </w:rPr>
      </w:pPr>
      <w:r w:rsidRPr="00016691">
        <w:rPr>
          <w:rFonts w:ascii="Arial" w:eastAsia="Times New Roman" w:hAnsi="Arial" w:cs="Arial"/>
          <w:szCs w:val="20"/>
          <w:lang w:eastAsia="en-GB"/>
        </w:rPr>
        <w:t>Nearly</w:t>
      </w:r>
      <w:r w:rsidRPr="00EE4620">
        <w:rPr>
          <w:rFonts w:ascii="Arial" w:eastAsia="Times New Roman" w:hAnsi="Arial" w:cs="Times New Roman"/>
          <w:lang w:eastAsia="en-GB"/>
        </w:rPr>
        <w:t xml:space="preserve"> half the respondents (</w:t>
      </w:r>
      <w:r w:rsidRPr="00EE4620">
        <w:rPr>
          <w:rFonts w:ascii="Arial" w:eastAsia="Times New Roman" w:hAnsi="Arial" w:cs="Times New Roman"/>
          <w:b/>
          <w:lang w:eastAsia="en-GB"/>
        </w:rPr>
        <w:t>47 per cent</w:t>
      </w:r>
      <w:r w:rsidRPr="00EE4620">
        <w:rPr>
          <w:rFonts w:ascii="Arial" w:eastAsia="Times New Roman" w:hAnsi="Arial" w:cs="Times New Roman"/>
          <w:lang w:eastAsia="en-GB"/>
        </w:rPr>
        <w:t xml:space="preserve">) had heard of Local Partnerships.  </w:t>
      </w:r>
    </w:p>
    <w:p w14:paraId="18907CC5" w14:textId="77777777" w:rsidR="00EE4620" w:rsidRPr="00EE4620" w:rsidRDefault="00EE4620" w:rsidP="00EE4620">
      <w:pPr>
        <w:spacing w:after="0" w:line="240" w:lineRule="auto"/>
        <w:rPr>
          <w:rFonts w:ascii="Arial" w:eastAsia="Times New Roman" w:hAnsi="Arial" w:cs="Times New Roman"/>
          <w:lang w:eastAsia="en-GB"/>
        </w:rPr>
      </w:pPr>
    </w:p>
    <w:p w14:paraId="18907CC6" w14:textId="3F35C34E" w:rsidR="00EE4620" w:rsidRPr="00EE4620" w:rsidRDefault="00EE4620" w:rsidP="00016691">
      <w:pPr>
        <w:numPr>
          <w:ilvl w:val="0"/>
          <w:numId w:val="3"/>
        </w:numPr>
        <w:spacing w:before="120" w:after="360" w:line="240" w:lineRule="auto"/>
        <w:ind w:left="567" w:hanging="567"/>
        <w:contextualSpacing/>
        <w:rPr>
          <w:rFonts w:ascii="Arial" w:eastAsia="Times New Roman" w:hAnsi="Arial" w:cstheme="minorHAnsi"/>
          <w:lang w:eastAsia="en-GB"/>
        </w:rPr>
      </w:pPr>
      <w:r w:rsidRPr="00EE4620">
        <w:rPr>
          <w:rFonts w:ascii="Arial" w:eastAsia="Times New Roman" w:hAnsi="Arial" w:cstheme="minorHAnsi"/>
          <w:lang w:eastAsia="en-GB"/>
        </w:rPr>
        <w:t xml:space="preserve">Of those who are aware their council have </w:t>
      </w:r>
      <w:r w:rsidR="00016691">
        <w:rPr>
          <w:rFonts w:ascii="Arial" w:eastAsia="Times New Roman" w:hAnsi="Arial" w:cstheme="minorHAnsi"/>
          <w:lang w:eastAsia="en-GB"/>
        </w:rPr>
        <w:t xml:space="preserve">used services provided by Local </w:t>
      </w:r>
      <w:r w:rsidRPr="00EE4620">
        <w:rPr>
          <w:rFonts w:ascii="Arial" w:eastAsia="Times New Roman" w:hAnsi="Arial" w:cstheme="minorHAnsi"/>
          <w:lang w:eastAsia="en-GB"/>
        </w:rPr>
        <w:t xml:space="preserve">Partnerships, </w:t>
      </w:r>
      <w:r w:rsidRPr="00EE4620">
        <w:rPr>
          <w:rFonts w:ascii="Arial" w:eastAsia="Times New Roman" w:hAnsi="Arial" w:cstheme="minorHAnsi"/>
          <w:b/>
          <w:lang w:eastAsia="en-GB"/>
        </w:rPr>
        <w:t>78 per cent</w:t>
      </w:r>
      <w:r w:rsidRPr="00EE4620">
        <w:rPr>
          <w:rFonts w:ascii="Arial" w:eastAsia="Times New Roman" w:hAnsi="Arial" w:cstheme="minorHAnsi"/>
          <w:lang w:eastAsia="en-GB"/>
        </w:rPr>
        <w:t xml:space="preserve"> are satisfied with them.  </w:t>
      </w:r>
    </w:p>
    <w:p w14:paraId="18907CC7" w14:textId="77777777" w:rsidR="00EE4620" w:rsidRPr="00EE4620" w:rsidRDefault="00EE4620" w:rsidP="00EE4620">
      <w:pPr>
        <w:spacing w:after="0" w:line="240" w:lineRule="auto"/>
        <w:rPr>
          <w:rFonts w:ascii="Arial" w:eastAsia="Times New Roman" w:hAnsi="Arial" w:cs="Times New Roman"/>
          <w:lang w:eastAsia="en-GB"/>
        </w:rPr>
      </w:pPr>
    </w:p>
    <w:p w14:paraId="18907CC8" w14:textId="719D7491" w:rsidR="00EE4620" w:rsidRPr="00EE4620" w:rsidRDefault="00EE4620" w:rsidP="006B018F">
      <w:pPr>
        <w:numPr>
          <w:ilvl w:val="0"/>
          <w:numId w:val="3"/>
        </w:numPr>
        <w:spacing w:before="120" w:after="360" w:line="240" w:lineRule="auto"/>
        <w:ind w:left="567" w:hanging="567"/>
        <w:contextualSpacing/>
        <w:rPr>
          <w:rFonts w:ascii="Arial" w:eastAsia="Times New Roman" w:hAnsi="Arial" w:cs="Times New Roman"/>
          <w:szCs w:val="20"/>
          <w:lang w:eastAsia="en-GB"/>
        </w:rPr>
      </w:pPr>
      <w:r w:rsidRPr="00EE4620">
        <w:rPr>
          <w:rFonts w:ascii="Arial" w:eastAsia="Times New Roman" w:hAnsi="Arial" w:cs="Times New Roman"/>
          <w:b/>
          <w:szCs w:val="20"/>
          <w:lang w:eastAsia="en-GB"/>
        </w:rPr>
        <w:lastRenderedPageBreak/>
        <w:t>Frontbench councillors</w:t>
      </w:r>
      <w:r w:rsidRPr="00EE4620">
        <w:rPr>
          <w:rFonts w:ascii="Arial" w:eastAsia="Times New Roman" w:hAnsi="Arial" w:cs="Times New Roman"/>
          <w:szCs w:val="20"/>
          <w:lang w:eastAsia="en-GB"/>
        </w:rPr>
        <w:t xml:space="preserve"> are less likely than </w:t>
      </w:r>
      <w:r w:rsidRPr="00EE4620">
        <w:rPr>
          <w:rFonts w:ascii="Arial" w:eastAsia="Times New Roman" w:hAnsi="Arial" w:cs="Times New Roman"/>
          <w:b/>
          <w:szCs w:val="20"/>
          <w:lang w:eastAsia="en-GB"/>
        </w:rPr>
        <w:t xml:space="preserve">officers </w:t>
      </w:r>
      <w:r w:rsidRPr="00EE4620">
        <w:rPr>
          <w:rFonts w:ascii="Arial" w:eastAsia="Times New Roman" w:hAnsi="Arial" w:cs="Times New Roman"/>
          <w:szCs w:val="20"/>
          <w:lang w:eastAsia="en-GB"/>
        </w:rPr>
        <w:t xml:space="preserve">and </w:t>
      </w:r>
      <w:r w:rsidRPr="00EE4620">
        <w:rPr>
          <w:rFonts w:ascii="Arial" w:eastAsia="Times New Roman" w:hAnsi="Arial" w:cs="Times New Roman"/>
          <w:b/>
          <w:szCs w:val="20"/>
          <w:lang w:eastAsia="en-GB"/>
        </w:rPr>
        <w:t xml:space="preserve">backbench councillors </w:t>
      </w:r>
      <w:r w:rsidRPr="00EE4620">
        <w:rPr>
          <w:rFonts w:ascii="Arial" w:eastAsia="Times New Roman" w:hAnsi="Arial" w:cs="Times New Roman"/>
          <w:szCs w:val="20"/>
          <w:lang w:eastAsia="en-GB"/>
        </w:rPr>
        <w:t>to have heard of Local Partnerships (</w:t>
      </w:r>
      <w:r w:rsidRPr="00EE4620">
        <w:rPr>
          <w:rFonts w:ascii="Arial" w:eastAsia="Times New Roman" w:hAnsi="Arial" w:cs="Times New Roman"/>
          <w:b/>
          <w:szCs w:val="20"/>
          <w:lang w:eastAsia="en-GB"/>
        </w:rPr>
        <w:t>44 per cent</w:t>
      </w:r>
      <w:r w:rsidRPr="00EE4620">
        <w:rPr>
          <w:rFonts w:ascii="Arial" w:eastAsia="Times New Roman" w:hAnsi="Arial" w:cs="Times New Roman"/>
          <w:szCs w:val="20"/>
          <w:lang w:eastAsia="en-GB"/>
        </w:rPr>
        <w:t xml:space="preserve"> compared with 49 per cent and 47 per cent respectively).</w:t>
      </w:r>
    </w:p>
    <w:p w14:paraId="18907CC9" w14:textId="77777777" w:rsidR="00EE4620" w:rsidRPr="00EE4620" w:rsidRDefault="00EE4620" w:rsidP="00EE4620">
      <w:pPr>
        <w:spacing w:after="0" w:line="240" w:lineRule="auto"/>
        <w:rPr>
          <w:rFonts w:ascii="Arial" w:eastAsia="Times New Roman" w:hAnsi="Arial" w:cs="Times New Roman"/>
          <w:szCs w:val="20"/>
          <w:lang w:eastAsia="en-GB"/>
        </w:rPr>
      </w:pPr>
    </w:p>
    <w:p w14:paraId="18907CCA" w14:textId="13A325A3" w:rsidR="00EE4620" w:rsidRPr="00EE4620" w:rsidRDefault="00EE4620" w:rsidP="006B018F">
      <w:pPr>
        <w:numPr>
          <w:ilvl w:val="0"/>
          <w:numId w:val="3"/>
        </w:numPr>
        <w:spacing w:before="120" w:after="360" w:line="240" w:lineRule="auto"/>
        <w:ind w:left="567" w:hanging="567"/>
        <w:contextualSpacing/>
        <w:rPr>
          <w:rFonts w:ascii="Arial" w:eastAsia="Times New Roman" w:hAnsi="Arial" w:cs="Times New Roman"/>
          <w:szCs w:val="20"/>
          <w:lang w:eastAsia="en-GB"/>
        </w:rPr>
      </w:pPr>
      <w:r w:rsidRPr="00EE4620">
        <w:rPr>
          <w:rFonts w:ascii="Arial" w:eastAsia="Times New Roman" w:hAnsi="Arial" w:cs="Times New Roman"/>
          <w:szCs w:val="20"/>
          <w:lang w:eastAsia="en-GB"/>
        </w:rPr>
        <w:t xml:space="preserve">Awareness is significantly higher amongst </w:t>
      </w:r>
      <w:r w:rsidRPr="00EE4620">
        <w:rPr>
          <w:rFonts w:ascii="Arial" w:eastAsia="Times New Roman" w:hAnsi="Arial" w:cs="Times New Roman"/>
          <w:b/>
          <w:szCs w:val="20"/>
          <w:lang w:eastAsia="en-GB"/>
        </w:rPr>
        <w:t>chief executives</w:t>
      </w:r>
      <w:r w:rsidRPr="00EE4620">
        <w:rPr>
          <w:rFonts w:ascii="Arial" w:eastAsia="Times New Roman" w:hAnsi="Arial" w:cs="Times New Roman"/>
          <w:szCs w:val="20"/>
          <w:lang w:eastAsia="en-GB"/>
        </w:rPr>
        <w:t xml:space="preserve"> (</w:t>
      </w:r>
      <w:r w:rsidRPr="00EE4620">
        <w:rPr>
          <w:rFonts w:ascii="Arial" w:eastAsia="Times New Roman" w:hAnsi="Arial" w:cs="Times New Roman"/>
          <w:b/>
          <w:szCs w:val="20"/>
          <w:lang w:eastAsia="en-GB"/>
        </w:rPr>
        <w:t>67 per cent</w:t>
      </w:r>
      <w:r w:rsidRPr="00EE4620">
        <w:rPr>
          <w:rFonts w:ascii="Arial" w:eastAsia="Times New Roman" w:hAnsi="Arial" w:cs="Times New Roman"/>
          <w:szCs w:val="20"/>
          <w:lang w:eastAsia="en-GB"/>
        </w:rPr>
        <w:t>).</w:t>
      </w:r>
    </w:p>
    <w:p w14:paraId="18907CCB" w14:textId="77777777" w:rsidR="00EE4620" w:rsidRPr="00EE4620" w:rsidRDefault="00EE4620" w:rsidP="00EE4620">
      <w:pPr>
        <w:spacing w:after="0" w:line="240" w:lineRule="auto"/>
        <w:rPr>
          <w:rFonts w:ascii="Arial" w:eastAsia="Times New Roman" w:hAnsi="Arial" w:cs="Times New Roman"/>
          <w:szCs w:val="20"/>
          <w:lang w:eastAsia="en-GB"/>
        </w:rPr>
      </w:pPr>
    </w:p>
    <w:p w14:paraId="18907CCC" w14:textId="592BD698" w:rsidR="00EE4620" w:rsidRPr="00EE4620" w:rsidRDefault="00EE4620" w:rsidP="006B018F">
      <w:pPr>
        <w:numPr>
          <w:ilvl w:val="0"/>
          <w:numId w:val="3"/>
        </w:numPr>
        <w:spacing w:before="120" w:after="360" w:line="240" w:lineRule="auto"/>
        <w:ind w:left="567" w:hanging="567"/>
        <w:contextualSpacing/>
        <w:rPr>
          <w:rFonts w:ascii="Arial" w:eastAsia="Times New Roman" w:hAnsi="Arial" w:cs="Times New Roman"/>
          <w:szCs w:val="20"/>
          <w:lang w:eastAsia="en-GB"/>
        </w:rPr>
      </w:pPr>
      <w:r w:rsidRPr="00EE4620">
        <w:rPr>
          <w:rFonts w:ascii="Arial" w:eastAsia="Times New Roman" w:hAnsi="Arial" w:cs="Times New Roman"/>
          <w:szCs w:val="20"/>
          <w:lang w:eastAsia="en-GB"/>
        </w:rPr>
        <w:t xml:space="preserve">Awareness is highest in the </w:t>
      </w:r>
      <w:r w:rsidRPr="00EE4620">
        <w:rPr>
          <w:rFonts w:ascii="Arial" w:eastAsia="Times New Roman" w:hAnsi="Arial" w:cs="Times New Roman"/>
          <w:b/>
          <w:szCs w:val="20"/>
          <w:lang w:eastAsia="en-GB"/>
        </w:rPr>
        <w:t>North East</w:t>
      </w:r>
      <w:r w:rsidRPr="00EE4620">
        <w:rPr>
          <w:rFonts w:ascii="Arial" w:eastAsia="Times New Roman" w:hAnsi="Arial" w:cs="Times New Roman"/>
          <w:szCs w:val="20"/>
          <w:lang w:eastAsia="en-GB"/>
        </w:rPr>
        <w:t xml:space="preserve"> (</w:t>
      </w:r>
      <w:r w:rsidRPr="00EE4620">
        <w:rPr>
          <w:rFonts w:ascii="Arial" w:eastAsia="Times New Roman" w:hAnsi="Arial" w:cs="Times New Roman"/>
          <w:b/>
          <w:szCs w:val="20"/>
          <w:lang w:eastAsia="en-GB"/>
        </w:rPr>
        <w:t>56 per cent</w:t>
      </w:r>
      <w:r w:rsidRPr="00EE4620">
        <w:rPr>
          <w:rFonts w:ascii="Arial" w:eastAsia="Times New Roman" w:hAnsi="Arial" w:cs="Times New Roman"/>
          <w:szCs w:val="20"/>
          <w:lang w:eastAsia="en-GB"/>
        </w:rPr>
        <w:t xml:space="preserve">) and lowest in the </w:t>
      </w:r>
      <w:r w:rsidR="006B018F">
        <w:rPr>
          <w:rFonts w:ascii="Arial" w:eastAsia="Times New Roman" w:hAnsi="Arial" w:cs="Times New Roman"/>
          <w:b/>
          <w:szCs w:val="20"/>
          <w:lang w:eastAsia="en-GB"/>
        </w:rPr>
        <w:t xml:space="preserve">West </w:t>
      </w:r>
      <w:r w:rsidRPr="00EE4620">
        <w:rPr>
          <w:rFonts w:ascii="Arial" w:eastAsia="Times New Roman" w:hAnsi="Arial" w:cs="Times New Roman"/>
          <w:b/>
          <w:szCs w:val="20"/>
          <w:lang w:eastAsia="en-GB"/>
        </w:rPr>
        <w:t>Midlands</w:t>
      </w:r>
      <w:r w:rsidRPr="00EE4620">
        <w:rPr>
          <w:rFonts w:ascii="Arial" w:eastAsia="Times New Roman" w:hAnsi="Arial" w:cs="Times New Roman"/>
          <w:szCs w:val="20"/>
          <w:lang w:eastAsia="en-GB"/>
        </w:rPr>
        <w:t xml:space="preserve"> (</w:t>
      </w:r>
      <w:r w:rsidRPr="00EE4620">
        <w:rPr>
          <w:rFonts w:ascii="Arial" w:eastAsia="Times New Roman" w:hAnsi="Arial" w:cs="Times New Roman"/>
          <w:b/>
          <w:szCs w:val="20"/>
          <w:lang w:eastAsia="en-GB"/>
        </w:rPr>
        <w:t>39 per cent</w:t>
      </w:r>
      <w:r w:rsidRPr="00EE4620">
        <w:rPr>
          <w:rFonts w:ascii="Arial" w:eastAsia="Times New Roman" w:hAnsi="Arial" w:cs="Times New Roman"/>
          <w:szCs w:val="20"/>
          <w:lang w:eastAsia="en-GB"/>
        </w:rPr>
        <w:t xml:space="preserve">) and the </w:t>
      </w:r>
      <w:r w:rsidRPr="00EE4620">
        <w:rPr>
          <w:rFonts w:ascii="Arial" w:eastAsia="Times New Roman" w:hAnsi="Arial" w:cs="Times New Roman"/>
          <w:b/>
          <w:szCs w:val="20"/>
          <w:lang w:eastAsia="en-GB"/>
        </w:rPr>
        <w:t>South East</w:t>
      </w:r>
      <w:r w:rsidRPr="00EE4620">
        <w:rPr>
          <w:rFonts w:ascii="Arial" w:eastAsia="Times New Roman" w:hAnsi="Arial" w:cs="Times New Roman"/>
          <w:szCs w:val="20"/>
          <w:lang w:eastAsia="en-GB"/>
        </w:rPr>
        <w:t xml:space="preserve"> (</w:t>
      </w:r>
      <w:r w:rsidRPr="00EE4620">
        <w:rPr>
          <w:rFonts w:ascii="Arial" w:eastAsia="Times New Roman" w:hAnsi="Arial" w:cs="Times New Roman"/>
          <w:b/>
          <w:szCs w:val="20"/>
          <w:lang w:eastAsia="en-GB"/>
        </w:rPr>
        <w:t>41 per cent</w:t>
      </w:r>
      <w:r w:rsidRPr="00EE4620">
        <w:rPr>
          <w:rFonts w:ascii="Arial" w:eastAsia="Times New Roman" w:hAnsi="Arial" w:cs="Times New Roman"/>
          <w:szCs w:val="20"/>
          <w:lang w:eastAsia="en-GB"/>
        </w:rPr>
        <w:t>).</w:t>
      </w:r>
    </w:p>
    <w:p w14:paraId="18907CCD" w14:textId="77777777" w:rsidR="00EE4620" w:rsidRPr="00EE4620" w:rsidRDefault="00EE4620" w:rsidP="00EE4620">
      <w:pPr>
        <w:spacing w:after="0" w:line="240" w:lineRule="auto"/>
        <w:rPr>
          <w:rFonts w:ascii="Arial" w:eastAsia="Times New Roman" w:hAnsi="Arial" w:cs="Times New Roman"/>
          <w:szCs w:val="20"/>
          <w:lang w:eastAsia="en-GB"/>
        </w:rPr>
      </w:pPr>
    </w:p>
    <w:p w14:paraId="18907CCE" w14:textId="04A8B92C" w:rsidR="00EE4620" w:rsidRPr="00EE4620" w:rsidRDefault="00EE4620" w:rsidP="006B018F">
      <w:pPr>
        <w:numPr>
          <w:ilvl w:val="0"/>
          <w:numId w:val="3"/>
        </w:numPr>
        <w:spacing w:before="120" w:after="360" w:line="240" w:lineRule="auto"/>
        <w:ind w:left="567" w:hanging="567"/>
        <w:contextualSpacing/>
        <w:rPr>
          <w:rFonts w:ascii="Arial" w:eastAsia="Times New Roman" w:hAnsi="Arial" w:cstheme="minorHAnsi"/>
          <w:lang w:eastAsia="en-GB"/>
        </w:rPr>
      </w:pPr>
      <w:r w:rsidRPr="00EE4620">
        <w:rPr>
          <w:rFonts w:ascii="Arial" w:eastAsia="Times New Roman" w:hAnsi="Arial" w:cstheme="minorHAnsi"/>
          <w:lang w:eastAsia="en-GB"/>
        </w:rPr>
        <w:t>Respondents in the East Region are most likely to be satisfied (</w:t>
      </w:r>
      <w:r w:rsidRPr="00EE4620">
        <w:rPr>
          <w:rFonts w:ascii="Arial" w:eastAsia="Times New Roman" w:hAnsi="Arial" w:cstheme="minorHAnsi"/>
          <w:b/>
          <w:lang w:eastAsia="en-GB"/>
        </w:rPr>
        <w:t>90 per cent</w:t>
      </w:r>
      <w:r w:rsidRPr="00EE4620">
        <w:rPr>
          <w:rFonts w:ascii="Arial" w:eastAsia="Times New Roman" w:hAnsi="Arial" w:cstheme="minorHAnsi"/>
          <w:lang w:eastAsia="en-GB"/>
        </w:rPr>
        <w:t>) while those in the South East and West Midlands are least likely to be (</w:t>
      </w:r>
      <w:r w:rsidRPr="00EE4620">
        <w:rPr>
          <w:rFonts w:ascii="Arial" w:eastAsia="Times New Roman" w:hAnsi="Arial" w:cstheme="minorHAnsi"/>
          <w:b/>
          <w:lang w:eastAsia="en-GB"/>
        </w:rPr>
        <w:t>both 71 per cent</w:t>
      </w:r>
      <w:r w:rsidRPr="00EE4620">
        <w:rPr>
          <w:rFonts w:ascii="Arial" w:eastAsia="Times New Roman" w:hAnsi="Arial" w:cstheme="minorHAnsi"/>
          <w:lang w:eastAsia="en-GB"/>
        </w:rPr>
        <w:t>).</w:t>
      </w:r>
    </w:p>
    <w:p w14:paraId="18907CCF" w14:textId="77777777" w:rsidR="00EE4620" w:rsidRPr="00EE4620" w:rsidRDefault="00EE4620" w:rsidP="00EE4620">
      <w:pPr>
        <w:spacing w:after="0" w:line="240" w:lineRule="auto"/>
        <w:rPr>
          <w:rFonts w:ascii="Arial" w:eastAsia="Times New Roman" w:hAnsi="Arial" w:cstheme="minorHAnsi"/>
          <w:b/>
          <w:lang w:eastAsia="en-GB"/>
        </w:rPr>
      </w:pPr>
    </w:p>
    <w:p w14:paraId="18907CD0" w14:textId="77777777" w:rsidR="00EE4620" w:rsidRPr="00EE4620" w:rsidRDefault="00EE4620" w:rsidP="00EE4620">
      <w:pPr>
        <w:spacing w:after="0" w:line="240" w:lineRule="auto"/>
        <w:rPr>
          <w:rFonts w:ascii="Arial" w:eastAsia="Times New Roman" w:hAnsi="Arial" w:cstheme="minorHAnsi"/>
          <w:b/>
          <w:lang w:eastAsia="en-GB"/>
        </w:rPr>
      </w:pPr>
      <w:r w:rsidRPr="00EE4620">
        <w:rPr>
          <w:rFonts w:ascii="Arial" w:eastAsia="Times New Roman" w:hAnsi="Arial" w:cstheme="minorHAnsi"/>
          <w:b/>
          <w:lang w:eastAsia="en-GB"/>
        </w:rPr>
        <w:t xml:space="preserve">Table 26 – How satisfied or dissatisfied are you with the services provided by Local Partnerships?  </w:t>
      </w:r>
    </w:p>
    <w:p w14:paraId="18907CD1" w14:textId="77777777" w:rsidR="00EE4620" w:rsidRPr="00EE4620" w:rsidRDefault="00EE4620" w:rsidP="00EE4620">
      <w:pPr>
        <w:spacing w:after="0" w:line="240" w:lineRule="auto"/>
        <w:rPr>
          <w:rFonts w:ascii="Arial" w:eastAsia="Times New Roman" w:hAnsi="Arial" w:cstheme="minorHAnsi"/>
          <w:lang w:eastAsia="en-GB"/>
        </w:rPr>
      </w:pPr>
      <w:r w:rsidRPr="00EE4620">
        <w:rPr>
          <w:rFonts w:ascii="Arial" w:eastAsia="Times New Roman" w:hAnsi="Arial" w:cstheme="minorHAnsi"/>
          <w:lang w:eastAsia="en-GB"/>
        </w:rPr>
        <w:t xml:space="preserve"> </w:t>
      </w:r>
    </w:p>
    <w:p w14:paraId="18907CD2" w14:textId="77777777" w:rsidR="00EE4620" w:rsidRPr="00EE4620" w:rsidRDefault="00EE4620" w:rsidP="00EE4620">
      <w:pPr>
        <w:spacing w:after="0" w:line="240" w:lineRule="auto"/>
        <w:rPr>
          <w:rFonts w:ascii="Arial" w:eastAsia="Times New Roman" w:hAnsi="Arial" w:cs="Times New Roman"/>
          <w:b/>
          <w:color w:val="FF0000"/>
          <w:lang w:eastAsia="en-GB"/>
        </w:rPr>
      </w:pPr>
    </w:p>
    <w:p w14:paraId="18907CD3" w14:textId="77777777" w:rsidR="00EE4620" w:rsidRPr="00EE4620" w:rsidRDefault="00EE4620" w:rsidP="00EE4620">
      <w:pPr>
        <w:spacing w:after="0" w:line="240" w:lineRule="auto"/>
        <w:rPr>
          <w:rFonts w:ascii="Arial" w:eastAsia="Times New Roman" w:hAnsi="Arial" w:cs="Times New Roman"/>
          <w:lang w:eastAsia="en-GB"/>
        </w:rPr>
      </w:pPr>
      <w:r w:rsidRPr="00EE4620">
        <w:rPr>
          <w:rFonts w:ascii="Arial" w:eastAsia="Times New Roman" w:hAnsi="Arial" w:cs="Times New Roman"/>
          <w:noProof/>
          <w:sz w:val="24"/>
          <w:szCs w:val="20"/>
          <w:lang w:eastAsia="en-GB"/>
        </w:rPr>
        <w:drawing>
          <wp:inline distT="0" distB="0" distL="0" distR="0" wp14:anchorId="18907D1C" wp14:editId="18907D1D">
            <wp:extent cx="5278120" cy="3054387"/>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EE4620">
        <w:rPr>
          <w:rFonts w:ascii="Arial" w:eastAsia="Times New Roman" w:hAnsi="Arial" w:cstheme="minorHAnsi"/>
          <w:b/>
          <w:lang w:eastAsia="en-GB"/>
        </w:rPr>
        <w:br w:type="page"/>
      </w:r>
    </w:p>
    <w:p w14:paraId="18907CD4" w14:textId="77777777" w:rsidR="00EE4620" w:rsidRPr="00EE4620" w:rsidRDefault="00EE4620" w:rsidP="00EE4620">
      <w:pPr>
        <w:spacing w:after="0" w:line="240" w:lineRule="auto"/>
        <w:rPr>
          <w:rFonts w:ascii="Arial" w:eastAsia="Times New Roman" w:hAnsi="Arial" w:cs="Arial"/>
          <w:b/>
          <w:lang w:eastAsia="en-GB"/>
        </w:rPr>
      </w:pPr>
    </w:p>
    <w:p w14:paraId="18907CD5" w14:textId="77777777" w:rsidR="00EE4620" w:rsidRPr="00EE4620" w:rsidRDefault="00EE4620" w:rsidP="00EE4620">
      <w:pPr>
        <w:spacing w:after="0" w:line="240" w:lineRule="auto"/>
        <w:rPr>
          <w:rFonts w:ascii="Arial" w:eastAsia="Times New Roman" w:hAnsi="Arial" w:cs="Arial"/>
          <w:lang w:eastAsia="en-GB"/>
        </w:rPr>
      </w:pPr>
      <w:r w:rsidRPr="00EE4620">
        <w:rPr>
          <w:rFonts w:ascii="Arial" w:eastAsia="Times New Roman" w:hAnsi="Arial" w:cs="Arial"/>
          <w:b/>
          <w:lang w:eastAsia="en-GB"/>
        </w:rPr>
        <w:t>Conclusions</w:t>
      </w:r>
    </w:p>
    <w:p w14:paraId="18907CD6" w14:textId="77777777" w:rsidR="00EE4620" w:rsidRPr="00EE4620" w:rsidRDefault="00EE4620" w:rsidP="00EE4620">
      <w:pPr>
        <w:spacing w:after="0" w:line="240" w:lineRule="auto"/>
        <w:rPr>
          <w:rFonts w:ascii="Arial" w:eastAsia="Times New Roman" w:hAnsi="Arial" w:cs="Arial"/>
          <w:lang w:eastAsia="en-GB"/>
        </w:rPr>
      </w:pPr>
    </w:p>
    <w:p w14:paraId="18907CD7" w14:textId="67C9C52F" w:rsidR="00EE4620" w:rsidRPr="00EE4620" w:rsidRDefault="00EE4620" w:rsidP="006B018F">
      <w:pPr>
        <w:numPr>
          <w:ilvl w:val="0"/>
          <w:numId w:val="3"/>
        </w:numPr>
        <w:spacing w:before="120" w:after="360" w:line="240" w:lineRule="auto"/>
        <w:ind w:left="567" w:hanging="567"/>
        <w:contextualSpacing/>
        <w:rPr>
          <w:rFonts w:ascii="Arial" w:eastAsia="Times New Roman" w:hAnsi="Arial" w:cs="Arial"/>
          <w:lang w:eastAsia="en-GB"/>
        </w:rPr>
      </w:pPr>
      <w:r w:rsidRPr="006B018F">
        <w:rPr>
          <w:rFonts w:ascii="Arial" w:eastAsia="Times New Roman" w:hAnsi="Arial" w:cstheme="minorHAnsi"/>
          <w:lang w:eastAsia="en-GB"/>
        </w:rPr>
        <w:t>These</w:t>
      </w:r>
      <w:r w:rsidRPr="00EE4620">
        <w:rPr>
          <w:rFonts w:ascii="Arial" w:eastAsia="Times New Roman" w:hAnsi="Arial" w:cs="Arial"/>
          <w:lang w:eastAsia="en-GB"/>
        </w:rPr>
        <w:t xml:space="preserve"> results represent a significant improvement on last year in all of the key areas.  The action plan agreed by Leadership Board in 2012, which focused on improving awareness of our offer to councils, protecting and enhancing the reputation of local government and lobbying has played a part in improving awareness and satisfaction.</w:t>
      </w:r>
    </w:p>
    <w:p w14:paraId="18907CD8" w14:textId="77777777" w:rsidR="00EE4620" w:rsidRPr="00EE4620" w:rsidRDefault="00EE4620" w:rsidP="00EE4620">
      <w:pPr>
        <w:spacing w:after="0" w:line="240" w:lineRule="auto"/>
        <w:rPr>
          <w:rFonts w:ascii="Arial" w:eastAsia="Times New Roman" w:hAnsi="Arial" w:cs="Arial"/>
          <w:lang w:eastAsia="en-GB"/>
        </w:rPr>
      </w:pPr>
    </w:p>
    <w:p w14:paraId="18907CD9" w14:textId="1475DE33" w:rsidR="00EE4620" w:rsidRPr="006B018F" w:rsidRDefault="00EE4620" w:rsidP="006B018F">
      <w:pPr>
        <w:numPr>
          <w:ilvl w:val="0"/>
          <w:numId w:val="3"/>
        </w:numPr>
        <w:spacing w:before="120" w:after="360" w:line="240" w:lineRule="auto"/>
        <w:ind w:left="567" w:hanging="567"/>
        <w:contextualSpacing/>
        <w:rPr>
          <w:rFonts w:ascii="Arial" w:eastAsia="Times New Roman" w:hAnsi="Arial" w:cstheme="minorHAnsi"/>
          <w:lang w:eastAsia="en-GB"/>
        </w:rPr>
      </w:pPr>
      <w:r w:rsidRPr="006B018F">
        <w:rPr>
          <w:rFonts w:ascii="Arial" w:eastAsia="Times New Roman" w:hAnsi="Arial" w:cstheme="minorHAnsi"/>
          <w:lang w:eastAsia="en-GB"/>
        </w:rPr>
        <w:t>Satisfaction across all areas has improved with people more likely to speak positively about the LGA and our work.  Awareness of the LGA and the work we undertake has increased.  Although there have been improvements across all areas, backbench councillors remain the least engaged.  However, the overall proportion of those who know just a little about the LGA has decreased significantly.  This suggests that work we undertook as part of last year’s action plan to increase people’s a</w:t>
      </w:r>
      <w:r w:rsidR="006B018F">
        <w:rPr>
          <w:rFonts w:ascii="Arial" w:eastAsia="Times New Roman" w:hAnsi="Arial" w:cstheme="minorHAnsi"/>
          <w:lang w:eastAsia="en-GB"/>
        </w:rPr>
        <w:t xml:space="preserve">wareness and understanding has </w:t>
      </w:r>
      <w:r w:rsidRPr="006B018F">
        <w:rPr>
          <w:rFonts w:ascii="Arial" w:eastAsia="Times New Roman" w:hAnsi="Arial" w:cstheme="minorHAnsi"/>
          <w:lang w:eastAsia="en-GB"/>
        </w:rPr>
        <w:t xml:space="preserve">been successful. </w:t>
      </w:r>
    </w:p>
    <w:p w14:paraId="18907CDA" w14:textId="77777777" w:rsidR="00EE4620" w:rsidRPr="006B018F" w:rsidRDefault="00EE4620" w:rsidP="006B018F">
      <w:pPr>
        <w:spacing w:before="120" w:after="360" w:line="240" w:lineRule="auto"/>
        <w:ind w:left="567"/>
        <w:contextualSpacing/>
        <w:rPr>
          <w:rFonts w:ascii="Arial" w:eastAsia="Times New Roman" w:hAnsi="Arial" w:cstheme="minorHAnsi"/>
          <w:lang w:eastAsia="en-GB"/>
        </w:rPr>
      </w:pPr>
    </w:p>
    <w:p w14:paraId="18907CDB" w14:textId="46065E28" w:rsidR="00EE4620" w:rsidRPr="006B018F" w:rsidRDefault="00EE4620" w:rsidP="006B018F">
      <w:pPr>
        <w:numPr>
          <w:ilvl w:val="0"/>
          <w:numId w:val="3"/>
        </w:numPr>
        <w:spacing w:before="120" w:after="360" w:line="240" w:lineRule="auto"/>
        <w:ind w:left="567" w:hanging="567"/>
        <w:contextualSpacing/>
        <w:rPr>
          <w:rFonts w:ascii="Arial" w:eastAsia="Times New Roman" w:hAnsi="Arial" w:cstheme="minorHAnsi"/>
          <w:lang w:eastAsia="en-GB"/>
        </w:rPr>
      </w:pPr>
      <w:r w:rsidRPr="006B018F">
        <w:rPr>
          <w:rFonts w:ascii="Arial" w:eastAsia="Times New Roman" w:hAnsi="Arial" w:cstheme="minorHAnsi"/>
          <w:lang w:eastAsia="en-GB"/>
        </w:rPr>
        <w:t xml:space="preserve">The increase in understanding since 2012 also extends to a better understanding of the purpose of the LGA and how it works for local government. </w:t>
      </w:r>
    </w:p>
    <w:p w14:paraId="18907CDC" w14:textId="77777777" w:rsidR="00EE4620" w:rsidRPr="006B018F" w:rsidRDefault="00EE4620" w:rsidP="006B018F">
      <w:pPr>
        <w:spacing w:before="120" w:after="360" w:line="240" w:lineRule="auto"/>
        <w:ind w:left="567"/>
        <w:contextualSpacing/>
        <w:rPr>
          <w:rFonts w:ascii="Arial" w:eastAsia="Times New Roman" w:hAnsi="Arial" w:cstheme="minorHAnsi"/>
          <w:lang w:eastAsia="en-GB"/>
        </w:rPr>
      </w:pPr>
    </w:p>
    <w:p w14:paraId="18907CDD" w14:textId="177A3315" w:rsidR="00EE4620" w:rsidRPr="006B018F" w:rsidRDefault="00EE4620" w:rsidP="006B018F">
      <w:pPr>
        <w:numPr>
          <w:ilvl w:val="0"/>
          <w:numId w:val="3"/>
        </w:numPr>
        <w:spacing w:before="120" w:after="360" w:line="240" w:lineRule="auto"/>
        <w:ind w:left="567" w:hanging="567"/>
        <w:contextualSpacing/>
        <w:rPr>
          <w:rFonts w:ascii="Arial" w:eastAsia="Times New Roman" w:hAnsi="Arial" w:cstheme="minorHAnsi"/>
          <w:lang w:eastAsia="en-GB"/>
        </w:rPr>
      </w:pPr>
      <w:r w:rsidRPr="006B018F">
        <w:rPr>
          <w:rFonts w:ascii="Arial" w:eastAsia="Times New Roman" w:hAnsi="Arial" w:cstheme="minorHAnsi"/>
          <w:lang w:eastAsia="en-GB"/>
        </w:rPr>
        <w:t>The increased understanding may have impacted on the overall satisfaction with the LGA as significantly more respondents report that they would best be described as speaking positively about the LGA to others (either spontaneously or if asked) than in 2012 and that they were fairly or very satisfied with the LGA’s work on behalf of the local government sector. Respondents are also more likely to think they benefit a great deal from their relationship with the LGA.</w:t>
      </w:r>
    </w:p>
    <w:p w14:paraId="18907CDE" w14:textId="77777777" w:rsidR="00EE4620" w:rsidRPr="006B018F" w:rsidRDefault="00EE4620" w:rsidP="00A6567D">
      <w:pPr>
        <w:spacing w:before="120" w:after="360" w:line="240" w:lineRule="auto"/>
        <w:ind w:left="567"/>
        <w:contextualSpacing/>
        <w:rPr>
          <w:rFonts w:ascii="Arial" w:eastAsia="Times New Roman" w:hAnsi="Arial" w:cstheme="minorHAnsi"/>
          <w:lang w:eastAsia="en-GB"/>
        </w:rPr>
      </w:pPr>
    </w:p>
    <w:p w14:paraId="18907CDF" w14:textId="45D77B70" w:rsidR="00EE4620" w:rsidRPr="006B018F" w:rsidRDefault="00EE4620" w:rsidP="006B018F">
      <w:pPr>
        <w:numPr>
          <w:ilvl w:val="0"/>
          <w:numId w:val="3"/>
        </w:numPr>
        <w:spacing w:before="120" w:after="360" w:line="240" w:lineRule="auto"/>
        <w:ind w:left="567" w:hanging="567"/>
        <w:contextualSpacing/>
        <w:rPr>
          <w:rFonts w:ascii="Arial" w:eastAsia="Times New Roman" w:hAnsi="Arial" w:cstheme="minorHAnsi"/>
          <w:lang w:eastAsia="en-GB"/>
        </w:rPr>
      </w:pPr>
      <w:r w:rsidRPr="006B018F">
        <w:rPr>
          <w:rFonts w:ascii="Arial" w:eastAsia="Times New Roman" w:hAnsi="Arial" w:cstheme="minorHAnsi"/>
          <w:lang w:eastAsia="en-GB"/>
        </w:rPr>
        <w:t>As in 2012 the services delivered by the LGA that are perceived to be of the most importance to respondents tend to be related to the national role the LGA has in lobbying on behalf of the local government sector.</w:t>
      </w:r>
    </w:p>
    <w:p w14:paraId="18907CE0" w14:textId="77777777" w:rsidR="00EE4620" w:rsidRPr="006B018F" w:rsidRDefault="00EE4620" w:rsidP="00A6567D">
      <w:pPr>
        <w:spacing w:before="120" w:after="360" w:line="240" w:lineRule="auto"/>
        <w:ind w:left="567"/>
        <w:contextualSpacing/>
        <w:rPr>
          <w:rFonts w:ascii="Arial" w:eastAsia="Times New Roman" w:hAnsi="Arial" w:cstheme="minorHAnsi"/>
          <w:lang w:eastAsia="en-GB"/>
        </w:rPr>
      </w:pPr>
    </w:p>
    <w:p w14:paraId="18907CE1" w14:textId="6AE02B99" w:rsidR="00EE4620" w:rsidRPr="006B018F" w:rsidRDefault="00EE4620" w:rsidP="006B018F">
      <w:pPr>
        <w:numPr>
          <w:ilvl w:val="0"/>
          <w:numId w:val="3"/>
        </w:numPr>
        <w:spacing w:before="120" w:after="360" w:line="240" w:lineRule="auto"/>
        <w:ind w:left="567" w:hanging="567"/>
        <w:contextualSpacing/>
        <w:rPr>
          <w:rFonts w:ascii="Arial" w:eastAsia="Times New Roman" w:hAnsi="Arial" w:cstheme="minorHAnsi"/>
          <w:lang w:eastAsia="en-GB"/>
        </w:rPr>
      </w:pPr>
      <w:r w:rsidRPr="006B018F">
        <w:rPr>
          <w:rFonts w:ascii="Arial" w:eastAsia="Times New Roman" w:hAnsi="Arial" w:cstheme="minorHAnsi"/>
          <w:lang w:eastAsia="en-GB"/>
        </w:rPr>
        <w:t>A significantly higher proportion of respondents believe the LGA keeps them well informed about their work compared with 2012. However, there is still some work to do in this area to target those who do not feel we keep them well informed.  Further work to target backbench councillors will be undertaken.</w:t>
      </w:r>
    </w:p>
    <w:p w14:paraId="18907CE2" w14:textId="77777777" w:rsidR="00EE4620" w:rsidRPr="006B018F" w:rsidRDefault="00EE4620" w:rsidP="00A6567D">
      <w:pPr>
        <w:spacing w:before="120" w:after="360" w:line="240" w:lineRule="auto"/>
        <w:ind w:left="567"/>
        <w:contextualSpacing/>
        <w:rPr>
          <w:rFonts w:ascii="Arial" w:eastAsia="Times New Roman" w:hAnsi="Arial" w:cstheme="minorHAnsi"/>
          <w:lang w:eastAsia="en-GB"/>
        </w:rPr>
      </w:pPr>
    </w:p>
    <w:p w14:paraId="18907CE3" w14:textId="1A97F00C" w:rsidR="00EE4620" w:rsidRPr="006B018F" w:rsidRDefault="00EE4620" w:rsidP="006B018F">
      <w:pPr>
        <w:numPr>
          <w:ilvl w:val="0"/>
          <w:numId w:val="3"/>
        </w:numPr>
        <w:spacing w:before="120" w:after="360" w:line="240" w:lineRule="auto"/>
        <w:ind w:left="567" w:hanging="567"/>
        <w:contextualSpacing/>
        <w:rPr>
          <w:rFonts w:ascii="Arial" w:eastAsia="Times New Roman" w:hAnsi="Arial" w:cstheme="minorHAnsi"/>
          <w:lang w:eastAsia="en-GB"/>
        </w:rPr>
      </w:pPr>
      <w:r w:rsidRPr="006B018F">
        <w:rPr>
          <w:rFonts w:ascii="Arial" w:eastAsia="Times New Roman" w:hAnsi="Arial" w:cstheme="minorHAnsi"/>
          <w:lang w:eastAsia="en-GB"/>
        </w:rPr>
        <w:t>The issue of how effectively we demonstrate value for money requires further work as this is still an area where we still need to improve.  This can be achieved across all areas of the business and will need to be a key focus of our work in the coming months as this is one of the key drivers of reputation.</w:t>
      </w:r>
    </w:p>
    <w:p w14:paraId="18907CE4" w14:textId="77777777" w:rsidR="00EE4620" w:rsidRPr="006B018F" w:rsidRDefault="00EE4620" w:rsidP="00A6567D">
      <w:pPr>
        <w:spacing w:before="120" w:after="360" w:line="240" w:lineRule="auto"/>
        <w:contextualSpacing/>
        <w:rPr>
          <w:rFonts w:ascii="Arial" w:eastAsia="Times New Roman" w:hAnsi="Arial" w:cstheme="minorHAnsi"/>
          <w:lang w:eastAsia="en-GB"/>
        </w:rPr>
      </w:pPr>
    </w:p>
    <w:p w14:paraId="18907CE5" w14:textId="76A7611C" w:rsidR="00EE4620" w:rsidRPr="006B018F" w:rsidRDefault="00EE4620" w:rsidP="006B018F">
      <w:pPr>
        <w:numPr>
          <w:ilvl w:val="0"/>
          <w:numId w:val="3"/>
        </w:numPr>
        <w:spacing w:before="120" w:after="360" w:line="240" w:lineRule="auto"/>
        <w:ind w:left="567" w:hanging="567"/>
        <w:contextualSpacing/>
        <w:rPr>
          <w:rFonts w:ascii="Arial" w:eastAsia="Times New Roman" w:hAnsi="Arial" w:cstheme="minorHAnsi"/>
          <w:lang w:eastAsia="en-GB"/>
        </w:rPr>
      </w:pPr>
      <w:r w:rsidRPr="006B018F">
        <w:rPr>
          <w:rFonts w:ascii="Arial" w:eastAsia="Times New Roman" w:hAnsi="Arial" w:cstheme="minorHAnsi"/>
          <w:lang w:eastAsia="en-GB"/>
        </w:rPr>
        <w:t xml:space="preserve">There continues to be mixed awareness of the sector-led improvement approach although awareness has increased slightly.  Respondents continued to agree this was the correct approach and significantly more believe their local authority had made steps to drive improvement than in 2012.  Respondents were slightly more confident in their </w:t>
      </w:r>
      <w:proofErr w:type="gramStart"/>
      <w:r w:rsidRPr="006B018F">
        <w:rPr>
          <w:rFonts w:ascii="Arial" w:eastAsia="Times New Roman" w:hAnsi="Arial" w:cstheme="minorHAnsi"/>
          <w:lang w:eastAsia="en-GB"/>
        </w:rPr>
        <w:t>authority’s</w:t>
      </w:r>
      <w:proofErr w:type="gramEnd"/>
      <w:r w:rsidRPr="006B018F">
        <w:rPr>
          <w:rFonts w:ascii="Arial" w:eastAsia="Times New Roman" w:hAnsi="Arial" w:cstheme="minorHAnsi"/>
          <w:lang w:eastAsia="en-GB"/>
        </w:rPr>
        <w:t xml:space="preserve"> and the 116. Local government sector’s capacity to monitor their own performance and continuously improve than in 2012.</w:t>
      </w:r>
    </w:p>
    <w:p w14:paraId="18907CE6" w14:textId="77777777" w:rsidR="00EE4620" w:rsidRPr="00EE4620" w:rsidRDefault="00EE4620" w:rsidP="00EE4620">
      <w:pPr>
        <w:spacing w:after="0" w:line="240" w:lineRule="auto"/>
        <w:rPr>
          <w:rFonts w:ascii="Arial" w:eastAsia="Times New Roman" w:hAnsi="Arial" w:cs="Arial"/>
          <w:lang w:eastAsia="en-GB"/>
        </w:rPr>
      </w:pPr>
    </w:p>
    <w:p w14:paraId="18907CE7" w14:textId="77777777" w:rsidR="00EE4620" w:rsidRDefault="00EE4620" w:rsidP="00EE4620">
      <w:pPr>
        <w:spacing w:after="0" w:line="240" w:lineRule="auto"/>
        <w:rPr>
          <w:rFonts w:ascii="Arial" w:eastAsia="Times New Roman" w:hAnsi="Arial" w:cs="Arial"/>
          <w:b/>
          <w:lang w:eastAsia="en-GB"/>
        </w:rPr>
      </w:pPr>
      <w:r>
        <w:rPr>
          <w:rFonts w:ascii="Arial" w:eastAsia="Times New Roman" w:hAnsi="Arial" w:cs="Arial"/>
          <w:b/>
          <w:lang w:eastAsia="en-GB"/>
        </w:rPr>
        <w:br w:type="page"/>
      </w:r>
    </w:p>
    <w:p w14:paraId="18907CE8" w14:textId="77777777" w:rsidR="00EE4620" w:rsidRPr="00EE4620" w:rsidRDefault="00EE4620" w:rsidP="00EE4620">
      <w:pPr>
        <w:spacing w:after="0" w:line="240" w:lineRule="auto"/>
        <w:rPr>
          <w:rFonts w:ascii="Arial" w:eastAsia="Times New Roman" w:hAnsi="Arial" w:cs="Arial"/>
          <w:b/>
          <w:lang w:eastAsia="en-GB"/>
        </w:rPr>
      </w:pPr>
      <w:r w:rsidRPr="00EE4620">
        <w:rPr>
          <w:rFonts w:ascii="Arial" w:eastAsia="Times New Roman" w:hAnsi="Arial" w:cs="Arial"/>
          <w:b/>
          <w:lang w:eastAsia="en-GB"/>
        </w:rPr>
        <w:lastRenderedPageBreak/>
        <w:t>Next steps</w:t>
      </w:r>
    </w:p>
    <w:p w14:paraId="18907CE9" w14:textId="77777777" w:rsidR="00EE4620" w:rsidRPr="00EE4620" w:rsidRDefault="00EE4620" w:rsidP="00EE4620">
      <w:pPr>
        <w:spacing w:after="0"/>
        <w:rPr>
          <w:rFonts w:ascii="Arial" w:eastAsia="Times New Roman" w:hAnsi="Arial" w:cs="Arial"/>
          <w:lang w:eastAsia="en-GB"/>
        </w:rPr>
      </w:pPr>
    </w:p>
    <w:p w14:paraId="18907CEA" w14:textId="64D10A30" w:rsidR="00EE4620" w:rsidRPr="00EE4620" w:rsidRDefault="00EE4620" w:rsidP="00A6567D">
      <w:pPr>
        <w:numPr>
          <w:ilvl w:val="0"/>
          <w:numId w:val="3"/>
        </w:numPr>
        <w:spacing w:before="120" w:after="360" w:line="240" w:lineRule="auto"/>
        <w:ind w:left="567" w:hanging="567"/>
        <w:contextualSpacing/>
        <w:rPr>
          <w:rFonts w:ascii="Arial" w:eastAsia="Times New Roman" w:hAnsi="Arial" w:cs="Arial"/>
          <w:lang w:eastAsia="en-GB"/>
        </w:rPr>
      </w:pPr>
      <w:r w:rsidRPr="00EE4620">
        <w:rPr>
          <w:rFonts w:ascii="Arial" w:eastAsia="Times New Roman" w:hAnsi="Arial" w:cs="Arial"/>
          <w:lang w:eastAsia="en-GB"/>
        </w:rPr>
        <w:t xml:space="preserve">Work will now be undertaken to refresh last year’s action plan to address the outstanding issues that have come out of this year’s survey.  The work to engage backbench councillors will be further developed to ensure all members, whether they play a leading role in their council or undertake a ward function understand the key activities </w:t>
      </w:r>
      <w:r w:rsidRPr="00A6567D">
        <w:rPr>
          <w:rFonts w:ascii="Arial" w:eastAsia="Times New Roman" w:hAnsi="Arial" w:cstheme="minorHAnsi"/>
          <w:lang w:eastAsia="en-GB"/>
        </w:rPr>
        <w:t>and</w:t>
      </w:r>
      <w:r w:rsidRPr="00EE4620">
        <w:rPr>
          <w:rFonts w:ascii="Arial" w:eastAsia="Times New Roman" w:hAnsi="Arial" w:cs="Arial"/>
          <w:lang w:eastAsia="en-GB"/>
        </w:rPr>
        <w:t xml:space="preserve"> benefits of being a member of the LGA.  An awareness campaign will be developed to raise awareness of our sector-led improvement offer.  This will focus on the individual components of our offer so that councils understand the full range of the support available to them and on the benefits.</w:t>
      </w:r>
    </w:p>
    <w:p w14:paraId="18907CEB" w14:textId="77777777" w:rsidR="00EE4620" w:rsidRPr="00EE4620" w:rsidRDefault="00EE4620" w:rsidP="00EE4620">
      <w:pPr>
        <w:spacing w:after="0"/>
        <w:rPr>
          <w:rFonts w:ascii="Arial" w:eastAsia="Times New Roman" w:hAnsi="Arial" w:cs="Arial"/>
          <w:lang w:eastAsia="en-GB"/>
        </w:rPr>
      </w:pPr>
    </w:p>
    <w:p w14:paraId="18907CEC" w14:textId="3857CE89" w:rsidR="00EE4620" w:rsidRPr="00EE4620" w:rsidRDefault="00EE4620" w:rsidP="00A6567D">
      <w:pPr>
        <w:numPr>
          <w:ilvl w:val="0"/>
          <w:numId w:val="3"/>
        </w:numPr>
        <w:spacing w:before="120" w:after="360" w:line="240" w:lineRule="auto"/>
        <w:ind w:left="567" w:hanging="567"/>
        <w:contextualSpacing/>
        <w:rPr>
          <w:rFonts w:ascii="Arial" w:eastAsia="Times New Roman" w:hAnsi="Arial" w:cs="Arial"/>
          <w:lang w:eastAsia="en-GB"/>
        </w:rPr>
      </w:pPr>
      <w:r w:rsidRPr="00EE4620">
        <w:rPr>
          <w:rFonts w:ascii="Arial" w:eastAsia="Times New Roman" w:hAnsi="Arial" w:cs="Arial"/>
          <w:lang w:eastAsia="en-GB"/>
        </w:rPr>
        <w:t>Work is already underway to further enhance First magazine and develop the on-line version.  We are also developing a series of briefing sessions and updates for principal advisors and their teams so that they can focus on key issues for their area.</w:t>
      </w:r>
    </w:p>
    <w:p w14:paraId="18907CED" w14:textId="77777777" w:rsidR="00EE4620" w:rsidRPr="00EE4620" w:rsidRDefault="00EE4620" w:rsidP="00EE4620">
      <w:pPr>
        <w:spacing w:after="0"/>
        <w:rPr>
          <w:rFonts w:ascii="Arial" w:eastAsia="Times New Roman" w:hAnsi="Arial" w:cs="Arial"/>
          <w:lang w:eastAsia="en-GB"/>
        </w:rPr>
      </w:pPr>
    </w:p>
    <w:p w14:paraId="18907CEE" w14:textId="438EA976" w:rsidR="00EE4620" w:rsidRPr="00EE4620" w:rsidRDefault="00EE4620" w:rsidP="00A6567D">
      <w:pPr>
        <w:numPr>
          <w:ilvl w:val="0"/>
          <w:numId w:val="3"/>
        </w:numPr>
        <w:spacing w:before="120" w:after="360" w:line="240" w:lineRule="auto"/>
        <w:ind w:left="567" w:hanging="567"/>
        <w:contextualSpacing/>
        <w:rPr>
          <w:rFonts w:ascii="Arial" w:eastAsia="Times New Roman" w:hAnsi="Arial" w:cs="Arial"/>
          <w:lang w:eastAsia="en-GB"/>
        </w:rPr>
      </w:pPr>
      <w:r w:rsidRPr="00EE4620">
        <w:rPr>
          <w:rFonts w:ascii="Arial" w:eastAsia="Times New Roman" w:hAnsi="Arial" w:cs="Arial"/>
          <w:lang w:eastAsia="en-GB"/>
        </w:rPr>
        <w:t xml:space="preserve">The action plan attached at </w:t>
      </w:r>
      <w:r w:rsidRPr="00EE4620">
        <w:rPr>
          <w:rFonts w:ascii="Arial" w:eastAsia="Times New Roman" w:hAnsi="Arial" w:cs="Arial"/>
          <w:b/>
          <w:u w:val="single"/>
          <w:lang w:eastAsia="en-GB"/>
        </w:rPr>
        <w:t>Appendix A</w:t>
      </w:r>
      <w:r w:rsidRPr="00EE4620">
        <w:rPr>
          <w:rFonts w:ascii="Arial" w:eastAsia="Times New Roman" w:hAnsi="Arial" w:cs="Arial"/>
          <w:lang w:eastAsia="en-GB"/>
        </w:rPr>
        <w:t xml:space="preserve"> has </w:t>
      </w:r>
      <w:r w:rsidR="00A6567D">
        <w:rPr>
          <w:rFonts w:ascii="Arial" w:eastAsia="Times New Roman" w:hAnsi="Arial" w:cs="Arial"/>
          <w:lang w:eastAsia="en-GB"/>
        </w:rPr>
        <w:t xml:space="preserve">been updated and builds on the </w:t>
      </w:r>
      <w:r w:rsidRPr="00EE4620">
        <w:rPr>
          <w:rFonts w:ascii="Arial" w:eastAsia="Times New Roman" w:hAnsi="Arial" w:cs="Arial"/>
          <w:lang w:eastAsia="en-GB"/>
        </w:rPr>
        <w:t xml:space="preserve">existing plan agreed by Leadership Board in 2013.  </w:t>
      </w:r>
    </w:p>
    <w:p w14:paraId="18907CEF" w14:textId="77777777" w:rsidR="00D70117" w:rsidRDefault="00D70117"/>
    <w:sectPr w:rsidR="00D70117">
      <w:head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07D20" w14:textId="77777777" w:rsidR="00E55451" w:rsidRDefault="00E55451" w:rsidP="00EE4620">
      <w:pPr>
        <w:spacing w:after="0" w:line="240" w:lineRule="auto"/>
      </w:pPr>
      <w:r>
        <w:separator/>
      </w:r>
    </w:p>
  </w:endnote>
  <w:endnote w:type="continuationSeparator" w:id="0">
    <w:p w14:paraId="18907D21" w14:textId="77777777" w:rsidR="00E55451" w:rsidRDefault="00E55451" w:rsidP="00EE4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Frutiger 55 Roman">
    <w:altName w:val="Vrinda"/>
    <w:panose1 w:val="020B08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07D1E" w14:textId="77777777" w:rsidR="00E55451" w:rsidRDefault="00E55451" w:rsidP="00EE4620">
      <w:pPr>
        <w:spacing w:after="0" w:line="240" w:lineRule="auto"/>
      </w:pPr>
      <w:r>
        <w:separator/>
      </w:r>
    </w:p>
  </w:footnote>
  <w:footnote w:type="continuationSeparator" w:id="0">
    <w:p w14:paraId="18907D1F" w14:textId="77777777" w:rsidR="00E55451" w:rsidRDefault="00E55451" w:rsidP="00EE4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851" w:type="dxa"/>
      <w:tblLook w:val="01E0" w:firstRow="1" w:lastRow="1" w:firstColumn="1" w:lastColumn="1" w:noHBand="0" w:noVBand="0"/>
    </w:tblPr>
    <w:tblGrid>
      <w:gridCol w:w="6062"/>
      <w:gridCol w:w="8789"/>
    </w:tblGrid>
    <w:tr w:rsidR="00E55451" w:rsidRPr="00EE4620" w14:paraId="18907D26" w14:textId="77777777" w:rsidTr="00E55451">
      <w:tc>
        <w:tcPr>
          <w:tcW w:w="6062" w:type="dxa"/>
          <w:vMerge w:val="restart"/>
        </w:tcPr>
        <w:p w14:paraId="18907D22" w14:textId="77777777" w:rsidR="00E55451" w:rsidRPr="00EE4620" w:rsidRDefault="00E55451" w:rsidP="00EE4620">
          <w:pPr>
            <w:tabs>
              <w:tab w:val="center" w:pos="4153"/>
              <w:tab w:val="right" w:pos="8306"/>
            </w:tabs>
            <w:spacing w:after="0" w:line="240" w:lineRule="auto"/>
            <w:rPr>
              <w:rFonts w:ascii="Arial" w:eastAsia="Times New Roman" w:hAnsi="Arial" w:cs="Times New Roman"/>
              <w:sz w:val="24"/>
              <w:szCs w:val="20"/>
              <w:lang w:eastAsia="en-GB"/>
            </w:rPr>
          </w:pPr>
          <w:r w:rsidRPr="00EE4620">
            <w:rPr>
              <w:rFonts w:ascii="Arial" w:eastAsia="Times New Roman" w:hAnsi="Arial" w:cs="Arial"/>
              <w:noProof/>
              <w:sz w:val="44"/>
              <w:szCs w:val="44"/>
              <w:lang w:eastAsia="en-GB"/>
            </w:rPr>
            <w:drawing>
              <wp:inline distT="0" distB="0" distL="0" distR="0" wp14:anchorId="18907D2B" wp14:editId="18907D2C">
                <wp:extent cx="1428750" cy="847725"/>
                <wp:effectExtent l="0" t="0" r="0" b="9525"/>
                <wp:docPr id="24" name="Picture 2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8789" w:type="dxa"/>
        </w:tcPr>
        <w:p w14:paraId="18907D23" w14:textId="77777777" w:rsidR="00E55451" w:rsidRPr="00EE4620" w:rsidRDefault="00E55451" w:rsidP="00EE4620">
          <w:pPr>
            <w:tabs>
              <w:tab w:val="center" w:pos="4153"/>
              <w:tab w:val="right" w:pos="8306"/>
            </w:tabs>
            <w:spacing w:after="0" w:line="240" w:lineRule="auto"/>
            <w:ind w:left="-391" w:firstLine="391"/>
            <w:rPr>
              <w:rFonts w:ascii="Arial" w:eastAsia="Times New Roman" w:hAnsi="Arial" w:cs="Arial"/>
              <w:b/>
              <w:lang w:eastAsia="en-GB"/>
            </w:rPr>
          </w:pPr>
        </w:p>
        <w:p w14:paraId="18907D24" w14:textId="77777777" w:rsidR="00E55451" w:rsidRPr="00EE4620" w:rsidRDefault="00E55451" w:rsidP="00EE4620">
          <w:pPr>
            <w:tabs>
              <w:tab w:val="center" w:pos="4153"/>
              <w:tab w:val="right" w:pos="8306"/>
            </w:tabs>
            <w:spacing w:after="0" w:line="240" w:lineRule="auto"/>
            <w:ind w:left="-391" w:firstLine="391"/>
            <w:rPr>
              <w:rFonts w:ascii="Arial" w:eastAsia="Times New Roman" w:hAnsi="Arial" w:cs="Arial"/>
              <w:b/>
              <w:lang w:eastAsia="en-GB"/>
            </w:rPr>
          </w:pPr>
        </w:p>
        <w:p w14:paraId="18907D25" w14:textId="77777777" w:rsidR="00E55451" w:rsidRPr="00EE4620" w:rsidRDefault="00E55451" w:rsidP="00EE4620">
          <w:pPr>
            <w:tabs>
              <w:tab w:val="center" w:pos="4153"/>
              <w:tab w:val="right" w:pos="8306"/>
            </w:tabs>
            <w:spacing w:after="0" w:line="240" w:lineRule="auto"/>
            <w:ind w:left="-391" w:firstLine="391"/>
            <w:rPr>
              <w:rFonts w:ascii="Arial" w:eastAsia="Times New Roman" w:hAnsi="Arial" w:cs="Times New Roman"/>
              <w:b/>
              <w:lang w:eastAsia="en-GB"/>
            </w:rPr>
          </w:pPr>
          <w:r w:rsidRPr="00EE4620">
            <w:rPr>
              <w:rFonts w:ascii="Arial" w:eastAsia="Times New Roman" w:hAnsi="Arial" w:cs="Arial"/>
              <w:b/>
              <w:lang w:eastAsia="en-GB"/>
            </w:rPr>
            <w:t>LGA Executive</w:t>
          </w:r>
        </w:p>
      </w:tc>
    </w:tr>
    <w:tr w:rsidR="00E55451" w:rsidRPr="00EE4620" w14:paraId="18907D29" w14:textId="77777777" w:rsidTr="00E55451">
      <w:trPr>
        <w:trHeight w:val="450"/>
      </w:trPr>
      <w:tc>
        <w:tcPr>
          <w:tcW w:w="6062" w:type="dxa"/>
          <w:vMerge/>
        </w:tcPr>
        <w:p w14:paraId="18907D27" w14:textId="77777777" w:rsidR="00E55451" w:rsidRPr="00EE4620" w:rsidRDefault="00E55451" w:rsidP="00EE4620">
          <w:pPr>
            <w:tabs>
              <w:tab w:val="center" w:pos="4153"/>
              <w:tab w:val="right" w:pos="8306"/>
            </w:tabs>
            <w:spacing w:after="0" w:line="240" w:lineRule="auto"/>
            <w:rPr>
              <w:rFonts w:ascii="Arial" w:eastAsia="Times New Roman" w:hAnsi="Arial" w:cs="Times New Roman"/>
              <w:sz w:val="24"/>
              <w:szCs w:val="20"/>
              <w:lang w:eastAsia="en-GB"/>
            </w:rPr>
          </w:pPr>
        </w:p>
      </w:tc>
      <w:tc>
        <w:tcPr>
          <w:tcW w:w="8789" w:type="dxa"/>
        </w:tcPr>
        <w:p w14:paraId="18907D28" w14:textId="77777777" w:rsidR="00E55451" w:rsidRPr="00EE4620" w:rsidRDefault="00E55451" w:rsidP="00EE4620">
          <w:pPr>
            <w:tabs>
              <w:tab w:val="center" w:pos="4153"/>
              <w:tab w:val="right" w:pos="8306"/>
            </w:tabs>
            <w:spacing w:before="60" w:after="0" w:line="240" w:lineRule="auto"/>
            <w:ind w:left="-675" w:firstLine="675"/>
            <w:rPr>
              <w:rFonts w:ascii="Arial" w:eastAsia="Times New Roman" w:hAnsi="Arial" w:cs="Arial"/>
              <w:lang w:eastAsia="en-GB"/>
            </w:rPr>
          </w:pPr>
          <w:r w:rsidRPr="00EE4620">
            <w:rPr>
              <w:rFonts w:ascii="Arial" w:eastAsia="Times New Roman" w:hAnsi="Arial" w:cs="Arial"/>
              <w:lang w:eastAsia="en-GB"/>
            </w:rPr>
            <w:t>20 February 2014</w:t>
          </w:r>
        </w:p>
      </w:tc>
    </w:tr>
  </w:tbl>
  <w:p w14:paraId="18907D2A" w14:textId="77777777" w:rsidR="00E55451" w:rsidRDefault="00E554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74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3D2806"/>
    <w:multiLevelType w:val="hybridMultilevel"/>
    <w:tmpl w:val="C5D87A6E"/>
    <w:lvl w:ilvl="0" w:tplc="3152A004">
      <w:start w:val="1"/>
      <w:numFmt w:val="bullet"/>
      <w:pStyle w:val="ListParagraph"/>
      <w:lvlText w:val=""/>
      <w:lvlJc w:val="left"/>
      <w:pPr>
        <w:ind w:left="360" w:hanging="360"/>
      </w:pPr>
      <w:rPr>
        <w:rFonts w:ascii="Symbol" w:hAnsi="Symbol" w:hint="default"/>
        <w:color w:val="4F81B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F16103"/>
    <w:multiLevelType w:val="multilevel"/>
    <w:tmpl w:val="D75683A0"/>
    <w:lvl w:ilvl="0">
      <w:start w:val="76"/>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9EA2372"/>
    <w:multiLevelType w:val="multilevel"/>
    <w:tmpl w:val="CB8092F2"/>
    <w:lvl w:ilvl="0">
      <w:start w:val="13"/>
      <w:numFmt w:val="decimal"/>
      <w:lvlText w:val="%1"/>
      <w:lvlJc w:val="left"/>
      <w:pPr>
        <w:ind w:left="420" w:hanging="420"/>
      </w:pPr>
      <w:rPr>
        <w:rFonts w:hint="default"/>
      </w:rPr>
    </w:lvl>
    <w:lvl w:ilvl="1">
      <w:start w:val="1"/>
      <w:numFmt w:val="decimal"/>
      <w:lvlText w:val="%1.%2"/>
      <w:lvlJc w:val="left"/>
      <w:pPr>
        <w:ind w:left="567" w:firstLine="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481B6C66"/>
    <w:multiLevelType w:val="multilevel"/>
    <w:tmpl w:val="8CEA5F64"/>
    <w:lvl w:ilvl="0">
      <w:start w:val="19"/>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559C1365"/>
    <w:multiLevelType w:val="multilevel"/>
    <w:tmpl w:val="6CDA633E"/>
    <w:lvl w:ilvl="0">
      <w:start w:val="5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569A135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734861E7"/>
    <w:multiLevelType w:val="multilevel"/>
    <w:tmpl w:val="A1DE700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6"/>
  </w:num>
  <w:num w:numId="3">
    <w:abstractNumId w:val="7"/>
  </w:num>
  <w:num w:numId="4">
    <w:abstractNumId w:val="3"/>
  </w:num>
  <w:num w:numId="5">
    <w:abstractNumId w:val="4"/>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620"/>
    <w:rsid w:val="00016691"/>
    <w:rsid w:val="00046326"/>
    <w:rsid w:val="00085821"/>
    <w:rsid w:val="000A08A0"/>
    <w:rsid w:val="001677EA"/>
    <w:rsid w:val="001F3C97"/>
    <w:rsid w:val="001F738D"/>
    <w:rsid w:val="002119A4"/>
    <w:rsid w:val="003169C2"/>
    <w:rsid w:val="0066698B"/>
    <w:rsid w:val="006B018F"/>
    <w:rsid w:val="006D574F"/>
    <w:rsid w:val="007672F4"/>
    <w:rsid w:val="0086111C"/>
    <w:rsid w:val="008D4EB3"/>
    <w:rsid w:val="009B2A11"/>
    <w:rsid w:val="009B65FE"/>
    <w:rsid w:val="00A3083C"/>
    <w:rsid w:val="00A6567D"/>
    <w:rsid w:val="00BE39C1"/>
    <w:rsid w:val="00CF603D"/>
    <w:rsid w:val="00D70117"/>
    <w:rsid w:val="00DD3B11"/>
    <w:rsid w:val="00E55451"/>
    <w:rsid w:val="00EE4620"/>
    <w:rsid w:val="00FC2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0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E4620"/>
    <w:pPr>
      <w:keepNext/>
      <w:spacing w:before="240" w:after="60" w:line="240" w:lineRule="auto"/>
      <w:outlineLvl w:val="0"/>
    </w:pPr>
    <w:rPr>
      <w:rFonts w:ascii="Cambria" w:eastAsia="Times New Roman" w:hAnsi="Cambria" w:cs="Times New Roman"/>
      <w:b/>
      <w:bCs/>
      <w:kern w:val="32"/>
      <w:sz w:val="32"/>
      <w:szCs w:val="32"/>
      <w:lang w:eastAsia="en-GB"/>
    </w:rPr>
  </w:style>
  <w:style w:type="paragraph" w:styleId="Heading2">
    <w:name w:val="heading 2"/>
    <w:basedOn w:val="Normal"/>
    <w:next w:val="Normal"/>
    <w:link w:val="Heading2Char"/>
    <w:semiHidden/>
    <w:unhideWhenUsed/>
    <w:qFormat/>
    <w:rsid w:val="00EE4620"/>
    <w:pPr>
      <w:keepNext/>
      <w:spacing w:before="240" w:after="60" w:line="240" w:lineRule="auto"/>
      <w:outlineLvl w:val="1"/>
    </w:pPr>
    <w:rPr>
      <w:rFonts w:ascii="Cambria" w:eastAsia="Times New Roman" w:hAnsi="Cambria" w:cs="Times New Roman"/>
      <w:b/>
      <w:bCs/>
      <w:i/>
      <w:iCs/>
      <w:sz w:val="28"/>
      <w:szCs w:val="28"/>
      <w:lang w:eastAsia="en-GB"/>
    </w:rPr>
  </w:style>
  <w:style w:type="paragraph" w:styleId="Heading3">
    <w:name w:val="heading 3"/>
    <w:basedOn w:val="Normal"/>
    <w:next w:val="Normal"/>
    <w:link w:val="Heading3Char"/>
    <w:semiHidden/>
    <w:unhideWhenUsed/>
    <w:qFormat/>
    <w:rsid w:val="00EE4620"/>
    <w:pPr>
      <w:keepNext/>
      <w:spacing w:before="240" w:after="60" w:line="240" w:lineRule="auto"/>
      <w:outlineLvl w:val="2"/>
    </w:pPr>
    <w:rPr>
      <w:rFonts w:ascii="Cambria" w:eastAsia="Times New Roman" w:hAnsi="Cambria"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4620"/>
    <w:rPr>
      <w:rFonts w:ascii="Cambria" w:eastAsia="Times New Roman" w:hAnsi="Cambria" w:cs="Times New Roman"/>
      <w:b/>
      <w:bCs/>
      <w:kern w:val="32"/>
      <w:sz w:val="32"/>
      <w:szCs w:val="32"/>
      <w:lang w:eastAsia="en-GB"/>
    </w:rPr>
  </w:style>
  <w:style w:type="character" w:customStyle="1" w:styleId="Heading2Char">
    <w:name w:val="Heading 2 Char"/>
    <w:basedOn w:val="DefaultParagraphFont"/>
    <w:link w:val="Heading2"/>
    <w:semiHidden/>
    <w:rsid w:val="00EE4620"/>
    <w:rPr>
      <w:rFonts w:ascii="Cambria" w:eastAsia="Times New Roman" w:hAnsi="Cambria" w:cs="Times New Roman"/>
      <w:b/>
      <w:bCs/>
      <w:i/>
      <w:iCs/>
      <w:sz w:val="28"/>
      <w:szCs w:val="28"/>
      <w:lang w:eastAsia="en-GB"/>
    </w:rPr>
  </w:style>
  <w:style w:type="character" w:customStyle="1" w:styleId="Heading3Char">
    <w:name w:val="Heading 3 Char"/>
    <w:basedOn w:val="DefaultParagraphFont"/>
    <w:link w:val="Heading3"/>
    <w:semiHidden/>
    <w:rsid w:val="00EE4620"/>
    <w:rPr>
      <w:rFonts w:ascii="Cambria" w:eastAsia="Times New Roman" w:hAnsi="Cambria" w:cs="Times New Roman"/>
      <w:b/>
      <w:bCs/>
      <w:sz w:val="26"/>
      <w:szCs w:val="26"/>
      <w:lang w:eastAsia="en-GB"/>
    </w:rPr>
  </w:style>
  <w:style w:type="numbering" w:customStyle="1" w:styleId="NoList1">
    <w:name w:val="No List1"/>
    <w:next w:val="NoList"/>
    <w:uiPriority w:val="99"/>
    <w:semiHidden/>
    <w:unhideWhenUsed/>
    <w:rsid w:val="00EE4620"/>
  </w:style>
  <w:style w:type="paragraph" w:styleId="Header">
    <w:name w:val="header"/>
    <w:basedOn w:val="Normal"/>
    <w:link w:val="HeaderChar"/>
    <w:rsid w:val="00EE4620"/>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rsid w:val="00EE4620"/>
    <w:rPr>
      <w:rFonts w:ascii="Arial" w:eastAsia="Times New Roman" w:hAnsi="Arial" w:cs="Times New Roman"/>
      <w:sz w:val="24"/>
      <w:szCs w:val="20"/>
      <w:lang w:eastAsia="en-GB"/>
    </w:rPr>
  </w:style>
  <w:style w:type="paragraph" w:styleId="Footer">
    <w:name w:val="footer"/>
    <w:basedOn w:val="Normal"/>
    <w:link w:val="FooterChar"/>
    <w:uiPriority w:val="99"/>
    <w:rsid w:val="00EE4620"/>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FooterChar">
    <w:name w:val="Footer Char"/>
    <w:basedOn w:val="DefaultParagraphFont"/>
    <w:link w:val="Footer"/>
    <w:uiPriority w:val="99"/>
    <w:rsid w:val="00EE4620"/>
    <w:rPr>
      <w:rFonts w:ascii="Arial" w:eastAsia="Times New Roman" w:hAnsi="Arial" w:cs="Times New Roman"/>
      <w:sz w:val="24"/>
      <w:szCs w:val="20"/>
      <w:lang w:eastAsia="en-GB"/>
    </w:rPr>
  </w:style>
  <w:style w:type="paragraph" w:customStyle="1" w:styleId="MainText">
    <w:name w:val="Main Text"/>
    <w:basedOn w:val="Normal"/>
    <w:rsid w:val="00EE4620"/>
    <w:pPr>
      <w:spacing w:after="0" w:line="280" w:lineRule="exact"/>
    </w:pPr>
    <w:rPr>
      <w:rFonts w:ascii="Arial" w:eastAsia="Times New Roman" w:hAnsi="Arial" w:cs="Times New Roman"/>
      <w:sz w:val="24"/>
      <w:szCs w:val="20"/>
      <w:lang w:eastAsia="en-GB"/>
    </w:rPr>
  </w:style>
  <w:style w:type="paragraph" w:customStyle="1" w:styleId="LGAItemNoHeading">
    <w:name w:val="LGA Item No Heading"/>
    <w:basedOn w:val="MainText"/>
    <w:rsid w:val="00EE4620"/>
    <w:pPr>
      <w:spacing w:before="600" w:after="240"/>
    </w:pPr>
    <w:rPr>
      <w:rFonts w:ascii="Frutiger 55 Roman" w:hAnsi="Frutiger 55 Roman"/>
      <w:b/>
      <w:sz w:val="32"/>
    </w:rPr>
  </w:style>
  <w:style w:type="table" w:styleId="TableGrid">
    <w:name w:val="Table Grid"/>
    <w:basedOn w:val="TableNormal"/>
    <w:rsid w:val="00EE4620"/>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EE4620"/>
    <w:pPr>
      <w:spacing w:after="0" w:line="240" w:lineRule="auto"/>
    </w:pPr>
    <w:rPr>
      <w:rFonts w:ascii="Arial" w:eastAsia="Times New Roman" w:hAnsi="Arial" w:cs="Times New Roman"/>
      <w:b/>
      <w:bCs/>
      <w:sz w:val="20"/>
      <w:szCs w:val="20"/>
      <w:lang w:eastAsia="en-GB"/>
    </w:rPr>
  </w:style>
  <w:style w:type="paragraph" w:styleId="BodyText">
    <w:name w:val="Body Text"/>
    <w:aliases w:val="F4 Main Text,Bulline,Body Text2,Document,Body Text Char1,Body Text2 Char1,Body text,body text. Body text,body text."/>
    <w:basedOn w:val="Normal"/>
    <w:link w:val="BodyTextChar"/>
    <w:uiPriority w:val="4"/>
    <w:qFormat/>
    <w:rsid w:val="00EE4620"/>
    <w:pPr>
      <w:spacing w:before="120" w:after="120"/>
      <w:ind w:left="567"/>
      <w:jc w:val="both"/>
    </w:pPr>
    <w:rPr>
      <w:rFonts w:ascii="Arial" w:eastAsia="Arial" w:hAnsi="Arial" w:cs="Times New Roman"/>
      <w:sz w:val="24"/>
    </w:rPr>
  </w:style>
  <w:style w:type="character" w:customStyle="1" w:styleId="BodyTextChar">
    <w:name w:val="Body Text Char"/>
    <w:aliases w:val="F4 Main Text Char,Bulline Char,Body Text2 Char,Document Char,Body Text Char1 Char,Body Text2 Char1 Char,Body text Char,body text. Body text Char,body text. Char"/>
    <w:basedOn w:val="DefaultParagraphFont"/>
    <w:link w:val="BodyText"/>
    <w:uiPriority w:val="4"/>
    <w:rsid w:val="00EE4620"/>
    <w:rPr>
      <w:rFonts w:ascii="Arial" w:eastAsia="Arial" w:hAnsi="Arial" w:cs="Times New Roman"/>
      <w:sz w:val="24"/>
    </w:rPr>
  </w:style>
  <w:style w:type="paragraph" w:styleId="ListParagraph">
    <w:name w:val="List Paragraph"/>
    <w:aliases w:val="F5 List Paragraph"/>
    <w:basedOn w:val="Normal"/>
    <w:uiPriority w:val="34"/>
    <w:qFormat/>
    <w:rsid w:val="00EE4620"/>
    <w:pPr>
      <w:numPr>
        <w:numId w:val="1"/>
      </w:numPr>
      <w:spacing w:before="120" w:after="360"/>
      <w:contextualSpacing/>
    </w:pPr>
    <w:rPr>
      <w:rFonts w:ascii="Arial" w:eastAsia="Arial" w:hAnsi="Arial" w:cs="Times New Roman"/>
      <w:sz w:val="24"/>
    </w:rPr>
  </w:style>
  <w:style w:type="paragraph" w:styleId="FootnoteText">
    <w:name w:val="footnote text"/>
    <w:basedOn w:val="Normal"/>
    <w:link w:val="FootnoteTextChar"/>
    <w:uiPriority w:val="99"/>
    <w:unhideWhenUsed/>
    <w:rsid w:val="00EE4620"/>
    <w:pPr>
      <w:spacing w:before="120"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EE4620"/>
    <w:rPr>
      <w:rFonts w:ascii="Arial" w:eastAsia="Times New Roman" w:hAnsi="Arial" w:cs="Times New Roman"/>
      <w:sz w:val="20"/>
      <w:szCs w:val="20"/>
    </w:rPr>
  </w:style>
  <w:style w:type="character" w:styleId="FootnoteReference">
    <w:name w:val="footnote reference"/>
    <w:uiPriority w:val="99"/>
    <w:unhideWhenUsed/>
    <w:rsid w:val="00EE4620"/>
    <w:rPr>
      <w:vertAlign w:val="superscript"/>
    </w:rPr>
  </w:style>
  <w:style w:type="paragraph" w:styleId="BalloonText">
    <w:name w:val="Balloon Text"/>
    <w:basedOn w:val="Normal"/>
    <w:link w:val="BalloonTextChar"/>
    <w:rsid w:val="00EE4620"/>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EE4620"/>
    <w:rPr>
      <w:rFonts w:ascii="Tahoma" w:eastAsia="Times New Roman" w:hAnsi="Tahoma" w:cs="Tahoma"/>
      <w:sz w:val="16"/>
      <w:szCs w:val="16"/>
      <w:lang w:eastAsia="en-GB"/>
    </w:rPr>
  </w:style>
  <w:style w:type="table" w:customStyle="1" w:styleId="LightList1">
    <w:name w:val="Light List1"/>
    <w:basedOn w:val="TableNormal"/>
    <w:uiPriority w:val="61"/>
    <w:rsid w:val="00EE4620"/>
    <w:pPr>
      <w:spacing w:after="0" w:line="240" w:lineRule="auto"/>
    </w:pPr>
    <w:rPr>
      <w:rFonts w:ascii="Arial" w:eastAsia="Arial" w:hAnsi="Arial" w:cs="Times New Roman"/>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CommentReference">
    <w:name w:val="annotation reference"/>
    <w:uiPriority w:val="99"/>
    <w:rsid w:val="00EE4620"/>
    <w:rPr>
      <w:sz w:val="16"/>
      <w:szCs w:val="16"/>
    </w:rPr>
  </w:style>
  <w:style w:type="paragraph" w:styleId="CommentText">
    <w:name w:val="annotation text"/>
    <w:basedOn w:val="Normal"/>
    <w:link w:val="CommentTextChar"/>
    <w:uiPriority w:val="99"/>
    <w:rsid w:val="00EE4620"/>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EE462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rsid w:val="00EE4620"/>
    <w:rPr>
      <w:b/>
      <w:bCs/>
    </w:rPr>
  </w:style>
  <w:style w:type="character" w:customStyle="1" w:styleId="CommentSubjectChar">
    <w:name w:val="Comment Subject Char"/>
    <w:basedOn w:val="CommentTextChar"/>
    <w:link w:val="CommentSubject"/>
    <w:rsid w:val="00EE4620"/>
    <w:rPr>
      <w:rFonts w:ascii="Arial" w:eastAsia="Times New Roman" w:hAnsi="Arial" w:cs="Times New Roman"/>
      <w:b/>
      <w:bCs/>
      <w:sz w:val="20"/>
      <w:szCs w:val="20"/>
      <w:lang w:eastAsia="en-GB"/>
    </w:rPr>
  </w:style>
  <w:style w:type="table" w:customStyle="1" w:styleId="BMGTable">
    <w:name w:val="BMG Table"/>
    <w:basedOn w:val="TableNormal"/>
    <w:uiPriority w:val="61"/>
    <w:rsid w:val="00EE4620"/>
    <w:pPr>
      <w:spacing w:before="60" w:after="60" w:line="240" w:lineRule="auto"/>
      <w:jc w:val="center"/>
    </w:pPr>
    <w:rPr>
      <w:rFonts w:ascii="Arial" w:eastAsia="Arial" w:hAnsi="Arial"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cPr>
      <w:vAlign w:val="center"/>
    </w:tcPr>
    <w:tblStylePr w:type="firstRow">
      <w:pPr>
        <w:spacing w:before="0" w:after="0" w:line="240" w:lineRule="auto"/>
      </w:pPr>
      <w:rPr>
        <w:b/>
        <w:bCs/>
        <w:color w:val="FFFFFF"/>
      </w:rPr>
      <w:tblPr/>
      <w:tcPr>
        <w:shd w:val="clear" w:color="auto" w:fill="4F81BD"/>
      </w:tcPr>
    </w:tblStylePr>
    <w:tblStylePr w:type="lastRow">
      <w:pPr>
        <w:wordWrap/>
        <w:spacing w:beforeLines="0" w:afterLines="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pPr>
        <w:jc w:val="left"/>
      </w:pPr>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F11Figure">
    <w:name w:val="F11 Figure"/>
    <w:basedOn w:val="NoSpacing"/>
    <w:next w:val="BodyText"/>
    <w:link w:val="F11FigureChar"/>
    <w:uiPriority w:val="7"/>
    <w:qFormat/>
    <w:rsid w:val="00EE4620"/>
    <w:pPr>
      <w:pBdr>
        <w:top w:val="single" w:sz="4" w:space="1" w:color="4F81BD" w:themeColor="accent1"/>
        <w:bottom w:val="single" w:sz="4" w:space="1" w:color="4F81BD" w:themeColor="accent1"/>
      </w:pBdr>
      <w:spacing w:before="120" w:after="360"/>
    </w:pPr>
    <w:rPr>
      <w:rFonts w:asciiTheme="minorHAnsi" w:eastAsiaTheme="minorHAnsi" w:hAnsiTheme="minorHAnsi" w:cstheme="minorBidi"/>
      <w:sz w:val="18"/>
      <w:szCs w:val="22"/>
      <w:lang w:eastAsia="en-US"/>
    </w:rPr>
  </w:style>
  <w:style w:type="character" w:customStyle="1" w:styleId="F11FigureChar">
    <w:name w:val="F11 Figure Char"/>
    <w:basedOn w:val="DefaultParagraphFont"/>
    <w:link w:val="F11Figure"/>
    <w:uiPriority w:val="7"/>
    <w:rsid w:val="00EE4620"/>
    <w:rPr>
      <w:sz w:val="18"/>
    </w:rPr>
  </w:style>
  <w:style w:type="paragraph" w:styleId="NoSpacing">
    <w:name w:val="No Spacing"/>
    <w:uiPriority w:val="1"/>
    <w:qFormat/>
    <w:rsid w:val="00EE4620"/>
    <w:pPr>
      <w:spacing w:after="0" w:line="240" w:lineRule="auto"/>
    </w:pPr>
    <w:rPr>
      <w:rFonts w:ascii="Arial" w:eastAsia="Times New Roman" w:hAnsi="Arial" w:cs="Times New Roman"/>
      <w:sz w:val="24"/>
      <w:szCs w:val="20"/>
      <w:lang w:eastAsia="en-GB"/>
    </w:rPr>
  </w:style>
  <w:style w:type="character" w:styleId="Hyperlink">
    <w:name w:val="Hyperlink"/>
    <w:basedOn w:val="DefaultParagraphFont"/>
    <w:rsid w:val="00EE46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E4620"/>
    <w:pPr>
      <w:keepNext/>
      <w:spacing w:before="240" w:after="60" w:line="240" w:lineRule="auto"/>
      <w:outlineLvl w:val="0"/>
    </w:pPr>
    <w:rPr>
      <w:rFonts w:ascii="Cambria" w:eastAsia="Times New Roman" w:hAnsi="Cambria" w:cs="Times New Roman"/>
      <w:b/>
      <w:bCs/>
      <w:kern w:val="32"/>
      <w:sz w:val="32"/>
      <w:szCs w:val="32"/>
      <w:lang w:eastAsia="en-GB"/>
    </w:rPr>
  </w:style>
  <w:style w:type="paragraph" w:styleId="Heading2">
    <w:name w:val="heading 2"/>
    <w:basedOn w:val="Normal"/>
    <w:next w:val="Normal"/>
    <w:link w:val="Heading2Char"/>
    <w:semiHidden/>
    <w:unhideWhenUsed/>
    <w:qFormat/>
    <w:rsid w:val="00EE4620"/>
    <w:pPr>
      <w:keepNext/>
      <w:spacing w:before="240" w:after="60" w:line="240" w:lineRule="auto"/>
      <w:outlineLvl w:val="1"/>
    </w:pPr>
    <w:rPr>
      <w:rFonts w:ascii="Cambria" w:eastAsia="Times New Roman" w:hAnsi="Cambria" w:cs="Times New Roman"/>
      <w:b/>
      <w:bCs/>
      <w:i/>
      <w:iCs/>
      <w:sz w:val="28"/>
      <w:szCs w:val="28"/>
      <w:lang w:eastAsia="en-GB"/>
    </w:rPr>
  </w:style>
  <w:style w:type="paragraph" w:styleId="Heading3">
    <w:name w:val="heading 3"/>
    <w:basedOn w:val="Normal"/>
    <w:next w:val="Normal"/>
    <w:link w:val="Heading3Char"/>
    <w:semiHidden/>
    <w:unhideWhenUsed/>
    <w:qFormat/>
    <w:rsid w:val="00EE4620"/>
    <w:pPr>
      <w:keepNext/>
      <w:spacing w:before="240" w:after="60" w:line="240" w:lineRule="auto"/>
      <w:outlineLvl w:val="2"/>
    </w:pPr>
    <w:rPr>
      <w:rFonts w:ascii="Cambria" w:eastAsia="Times New Roman" w:hAnsi="Cambria"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4620"/>
    <w:rPr>
      <w:rFonts w:ascii="Cambria" w:eastAsia="Times New Roman" w:hAnsi="Cambria" w:cs="Times New Roman"/>
      <w:b/>
      <w:bCs/>
      <w:kern w:val="32"/>
      <w:sz w:val="32"/>
      <w:szCs w:val="32"/>
      <w:lang w:eastAsia="en-GB"/>
    </w:rPr>
  </w:style>
  <w:style w:type="character" w:customStyle="1" w:styleId="Heading2Char">
    <w:name w:val="Heading 2 Char"/>
    <w:basedOn w:val="DefaultParagraphFont"/>
    <w:link w:val="Heading2"/>
    <w:semiHidden/>
    <w:rsid w:val="00EE4620"/>
    <w:rPr>
      <w:rFonts w:ascii="Cambria" w:eastAsia="Times New Roman" w:hAnsi="Cambria" w:cs="Times New Roman"/>
      <w:b/>
      <w:bCs/>
      <w:i/>
      <w:iCs/>
      <w:sz w:val="28"/>
      <w:szCs w:val="28"/>
      <w:lang w:eastAsia="en-GB"/>
    </w:rPr>
  </w:style>
  <w:style w:type="character" w:customStyle="1" w:styleId="Heading3Char">
    <w:name w:val="Heading 3 Char"/>
    <w:basedOn w:val="DefaultParagraphFont"/>
    <w:link w:val="Heading3"/>
    <w:semiHidden/>
    <w:rsid w:val="00EE4620"/>
    <w:rPr>
      <w:rFonts w:ascii="Cambria" w:eastAsia="Times New Roman" w:hAnsi="Cambria" w:cs="Times New Roman"/>
      <w:b/>
      <w:bCs/>
      <w:sz w:val="26"/>
      <w:szCs w:val="26"/>
      <w:lang w:eastAsia="en-GB"/>
    </w:rPr>
  </w:style>
  <w:style w:type="numbering" w:customStyle="1" w:styleId="NoList1">
    <w:name w:val="No List1"/>
    <w:next w:val="NoList"/>
    <w:uiPriority w:val="99"/>
    <w:semiHidden/>
    <w:unhideWhenUsed/>
    <w:rsid w:val="00EE4620"/>
  </w:style>
  <w:style w:type="paragraph" w:styleId="Header">
    <w:name w:val="header"/>
    <w:basedOn w:val="Normal"/>
    <w:link w:val="HeaderChar"/>
    <w:rsid w:val="00EE4620"/>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rsid w:val="00EE4620"/>
    <w:rPr>
      <w:rFonts w:ascii="Arial" w:eastAsia="Times New Roman" w:hAnsi="Arial" w:cs="Times New Roman"/>
      <w:sz w:val="24"/>
      <w:szCs w:val="20"/>
      <w:lang w:eastAsia="en-GB"/>
    </w:rPr>
  </w:style>
  <w:style w:type="paragraph" w:styleId="Footer">
    <w:name w:val="footer"/>
    <w:basedOn w:val="Normal"/>
    <w:link w:val="FooterChar"/>
    <w:uiPriority w:val="99"/>
    <w:rsid w:val="00EE4620"/>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FooterChar">
    <w:name w:val="Footer Char"/>
    <w:basedOn w:val="DefaultParagraphFont"/>
    <w:link w:val="Footer"/>
    <w:uiPriority w:val="99"/>
    <w:rsid w:val="00EE4620"/>
    <w:rPr>
      <w:rFonts w:ascii="Arial" w:eastAsia="Times New Roman" w:hAnsi="Arial" w:cs="Times New Roman"/>
      <w:sz w:val="24"/>
      <w:szCs w:val="20"/>
      <w:lang w:eastAsia="en-GB"/>
    </w:rPr>
  </w:style>
  <w:style w:type="paragraph" w:customStyle="1" w:styleId="MainText">
    <w:name w:val="Main Text"/>
    <w:basedOn w:val="Normal"/>
    <w:rsid w:val="00EE4620"/>
    <w:pPr>
      <w:spacing w:after="0" w:line="280" w:lineRule="exact"/>
    </w:pPr>
    <w:rPr>
      <w:rFonts w:ascii="Arial" w:eastAsia="Times New Roman" w:hAnsi="Arial" w:cs="Times New Roman"/>
      <w:sz w:val="24"/>
      <w:szCs w:val="20"/>
      <w:lang w:eastAsia="en-GB"/>
    </w:rPr>
  </w:style>
  <w:style w:type="paragraph" w:customStyle="1" w:styleId="LGAItemNoHeading">
    <w:name w:val="LGA Item No Heading"/>
    <w:basedOn w:val="MainText"/>
    <w:rsid w:val="00EE4620"/>
    <w:pPr>
      <w:spacing w:before="600" w:after="240"/>
    </w:pPr>
    <w:rPr>
      <w:rFonts w:ascii="Frutiger 55 Roman" w:hAnsi="Frutiger 55 Roman"/>
      <w:b/>
      <w:sz w:val="32"/>
    </w:rPr>
  </w:style>
  <w:style w:type="table" w:styleId="TableGrid">
    <w:name w:val="Table Grid"/>
    <w:basedOn w:val="TableNormal"/>
    <w:rsid w:val="00EE4620"/>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EE4620"/>
    <w:pPr>
      <w:spacing w:after="0" w:line="240" w:lineRule="auto"/>
    </w:pPr>
    <w:rPr>
      <w:rFonts w:ascii="Arial" w:eastAsia="Times New Roman" w:hAnsi="Arial" w:cs="Times New Roman"/>
      <w:b/>
      <w:bCs/>
      <w:sz w:val="20"/>
      <w:szCs w:val="20"/>
      <w:lang w:eastAsia="en-GB"/>
    </w:rPr>
  </w:style>
  <w:style w:type="paragraph" w:styleId="BodyText">
    <w:name w:val="Body Text"/>
    <w:aliases w:val="F4 Main Text,Bulline,Body Text2,Document,Body Text Char1,Body Text2 Char1,Body text,body text. Body text,body text."/>
    <w:basedOn w:val="Normal"/>
    <w:link w:val="BodyTextChar"/>
    <w:uiPriority w:val="4"/>
    <w:qFormat/>
    <w:rsid w:val="00EE4620"/>
    <w:pPr>
      <w:spacing w:before="120" w:after="120"/>
      <w:ind w:left="567"/>
      <w:jc w:val="both"/>
    </w:pPr>
    <w:rPr>
      <w:rFonts w:ascii="Arial" w:eastAsia="Arial" w:hAnsi="Arial" w:cs="Times New Roman"/>
      <w:sz w:val="24"/>
    </w:rPr>
  </w:style>
  <w:style w:type="character" w:customStyle="1" w:styleId="BodyTextChar">
    <w:name w:val="Body Text Char"/>
    <w:aliases w:val="F4 Main Text Char,Bulline Char,Body Text2 Char,Document Char,Body Text Char1 Char,Body Text2 Char1 Char,Body text Char,body text. Body text Char,body text. Char"/>
    <w:basedOn w:val="DefaultParagraphFont"/>
    <w:link w:val="BodyText"/>
    <w:uiPriority w:val="4"/>
    <w:rsid w:val="00EE4620"/>
    <w:rPr>
      <w:rFonts w:ascii="Arial" w:eastAsia="Arial" w:hAnsi="Arial" w:cs="Times New Roman"/>
      <w:sz w:val="24"/>
    </w:rPr>
  </w:style>
  <w:style w:type="paragraph" w:styleId="ListParagraph">
    <w:name w:val="List Paragraph"/>
    <w:aliases w:val="F5 List Paragraph"/>
    <w:basedOn w:val="Normal"/>
    <w:uiPriority w:val="34"/>
    <w:qFormat/>
    <w:rsid w:val="00EE4620"/>
    <w:pPr>
      <w:numPr>
        <w:numId w:val="1"/>
      </w:numPr>
      <w:spacing w:before="120" w:after="360"/>
      <w:contextualSpacing/>
    </w:pPr>
    <w:rPr>
      <w:rFonts w:ascii="Arial" w:eastAsia="Arial" w:hAnsi="Arial" w:cs="Times New Roman"/>
      <w:sz w:val="24"/>
    </w:rPr>
  </w:style>
  <w:style w:type="paragraph" w:styleId="FootnoteText">
    <w:name w:val="footnote text"/>
    <w:basedOn w:val="Normal"/>
    <w:link w:val="FootnoteTextChar"/>
    <w:uiPriority w:val="99"/>
    <w:unhideWhenUsed/>
    <w:rsid w:val="00EE4620"/>
    <w:pPr>
      <w:spacing w:before="120"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EE4620"/>
    <w:rPr>
      <w:rFonts w:ascii="Arial" w:eastAsia="Times New Roman" w:hAnsi="Arial" w:cs="Times New Roman"/>
      <w:sz w:val="20"/>
      <w:szCs w:val="20"/>
    </w:rPr>
  </w:style>
  <w:style w:type="character" w:styleId="FootnoteReference">
    <w:name w:val="footnote reference"/>
    <w:uiPriority w:val="99"/>
    <w:unhideWhenUsed/>
    <w:rsid w:val="00EE4620"/>
    <w:rPr>
      <w:vertAlign w:val="superscript"/>
    </w:rPr>
  </w:style>
  <w:style w:type="paragraph" w:styleId="BalloonText">
    <w:name w:val="Balloon Text"/>
    <w:basedOn w:val="Normal"/>
    <w:link w:val="BalloonTextChar"/>
    <w:rsid w:val="00EE4620"/>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EE4620"/>
    <w:rPr>
      <w:rFonts w:ascii="Tahoma" w:eastAsia="Times New Roman" w:hAnsi="Tahoma" w:cs="Tahoma"/>
      <w:sz w:val="16"/>
      <w:szCs w:val="16"/>
      <w:lang w:eastAsia="en-GB"/>
    </w:rPr>
  </w:style>
  <w:style w:type="table" w:customStyle="1" w:styleId="LightList1">
    <w:name w:val="Light List1"/>
    <w:basedOn w:val="TableNormal"/>
    <w:uiPriority w:val="61"/>
    <w:rsid w:val="00EE4620"/>
    <w:pPr>
      <w:spacing w:after="0" w:line="240" w:lineRule="auto"/>
    </w:pPr>
    <w:rPr>
      <w:rFonts w:ascii="Arial" w:eastAsia="Arial" w:hAnsi="Arial" w:cs="Times New Roman"/>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CommentReference">
    <w:name w:val="annotation reference"/>
    <w:uiPriority w:val="99"/>
    <w:rsid w:val="00EE4620"/>
    <w:rPr>
      <w:sz w:val="16"/>
      <w:szCs w:val="16"/>
    </w:rPr>
  </w:style>
  <w:style w:type="paragraph" w:styleId="CommentText">
    <w:name w:val="annotation text"/>
    <w:basedOn w:val="Normal"/>
    <w:link w:val="CommentTextChar"/>
    <w:uiPriority w:val="99"/>
    <w:rsid w:val="00EE4620"/>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EE462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rsid w:val="00EE4620"/>
    <w:rPr>
      <w:b/>
      <w:bCs/>
    </w:rPr>
  </w:style>
  <w:style w:type="character" w:customStyle="1" w:styleId="CommentSubjectChar">
    <w:name w:val="Comment Subject Char"/>
    <w:basedOn w:val="CommentTextChar"/>
    <w:link w:val="CommentSubject"/>
    <w:rsid w:val="00EE4620"/>
    <w:rPr>
      <w:rFonts w:ascii="Arial" w:eastAsia="Times New Roman" w:hAnsi="Arial" w:cs="Times New Roman"/>
      <w:b/>
      <w:bCs/>
      <w:sz w:val="20"/>
      <w:szCs w:val="20"/>
      <w:lang w:eastAsia="en-GB"/>
    </w:rPr>
  </w:style>
  <w:style w:type="table" w:customStyle="1" w:styleId="BMGTable">
    <w:name w:val="BMG Table"/>
    <w:basedOn w:val="TableNormal"/>
    <w:uiPriority w:val="61"/>
    <w:rsid w:val="00EE4620"/>
    <w:pPr>
      <w:spacing w:before="60" w:after="60" w:line="240" w:lineRule="auto"/>
      <w:jc w:val="center"/>
    </w:pPr>
    <w:rPr>
      <w:rFonts w:ascii="Arial" w:eastAsia="Arial" w:hAnsi="Arial"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cPr>
      <w:vAlign w:val="center"/>
    </w:tcPr>
    <w:tblStylePr w:type="firstRow">
      <w:pPr>
        <w:spacing w:before="0" w:after="0" w:line="240" w:lineRule="auto"/>
      </w:pPr>
      <w:rPr>
        <w:b/>
        <w:bCs/>
        <w:color w:val="FFFFFF"/>
      </w:rPr>
      <w:tblPr/>
      <w:tcPr>
        <w:shd w:val="clear" w:color="auto" w:fill="4F81BD"/>
      </w:tcPr>
    </w:tblStylePr>
    <w:tblStylePr w:type="lastRow">
      <w:pPr>
        <w:wordWrap/>
        <w:spacing w:beforeLines="0" w:afterLines="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pPr>
        <w:jc w:val="left"/>
      </w:pPr>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F11Figure">
    <w:name w:val="F11 Figure"/>
    <w:basedOn w:val="NoSpacing"/>
    <w:next w:val="BodyText"/>
    <w:link w:val="F11FigureChar"/>
    <w:uiPriority w:val="7"/>
    <w:qFormat/>
    <w:rsid w:val="00EE4620"/>
    <w:pPr>
      <w:pBdr>
        <w:top w:val="single" w:sz="4" w:space="1" w:color="4F81BD" w:themeColor="accent1"/>
        <w:bottom w:val="single" w:sz="4" w:space="1" w:color="4F81BD" w:themeColor="accent1"/>
      </w:pBdr>
      <w:spacing w:before="120" w:after="360"/>
    </w:pPr>
    <w:rPr>
      <w:rFonts w:asciiTheme="minorHAnsi" w:eastAsiaTheme="minorHAnsi" w:hAnsiTheme="minorHAnsi" w:cstheme="minorBidi"/>
      <w:sz w:val="18"/>
      <w:szCs w:val="22"/>
      <w:lang w:eastAsia="en-US"/>
    </w:rPr>
  </w:style>
  <w:style w:type="character" w:customStyle="1" w:styleId="F11FigureChar">
    <w:name w:val="F11 Figure Char"/>
    <w:basedOn w:val="DefaultParagraphFont"/>
    <w:link w:val="F11Figure"/>
    <w:uiPriority w:val="7"/>
    <w:rsid w:val="00EE4620"/>
    <w:rPr>
      <w:sz w:val="18"/>
    </w:rPr>
  </w:style>
  <w:style w:type="paragraph" w:styleId="NoSpacing">
    <w:name w:val="No Spacing"/>
    <w:uiPriority w:val="1"/>
    <w:qFormat/>
    <w:rsid w:val="00EE4620"/>
    <w:pPr>
      <w:spacing w:after="0" w:line="240" w:lineRule="auto"/>
    </w:pPr>
    <w:rPr>
      <w:rFonts w:ascii="Arial" w:eastAsia="Times New Roman" w:hAnsi="Arial" w:cs="Times New Roman"/>
      <w:sz w:val="24"/>
      <w:szCs w:val="20"/>
      <w:lang w:eastAsia="en-GB"/>
    </w:rPr>
  </w:style>
  <w:style w:type="character" w:styleId="Hyperlink">
    <w:name w:val="Hyperlink"/>
    <w:basedOn w:val="DefaultParagraphFont"/>
    <w:rsid w:val="00EE46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image" Target="media/image2.png"/><Relationship Id="rId25" Type="http://schemas.openxmlformats.org/officeDocument/2006/relationships/chart" Target="charts/chart14.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3.xml"/><Relationship Id="rId32" Type="http://schemas.openxmlformats.org/officeDocument/2006/relationships/chart" Target="charts/chart2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2.xml"/><Relationship Id="rId28" Type="http://schemas.openxmlformats.org/officeDocument/2006/relationships/chart" Target="charts/chart17.xml"/><Relationship Id="rId10" Type="http://schemas.openxmlformats.org/officeDocument/2006/relationships/chart" Target="charts/chart1.xml"/><Relationship Id="rId19" Type="http://schemas.openxmlformats.org/officeDocument/2006/relationships/chart" Target="charts/chart8.xml"/><Relationship Id="rId31" Type="http://schemas.openxmlformats.org/officeDocument/2006/relationships/chart" Target="charts/chart20.xml"/><Relationship Id="rId4" Type="http://schemas.microsoft.com/office/2007/relationships/stylesWithEffects" Target="stylesWithEffects.xml"/><Relationship Id="rId9" Type="http://schemas.openxmlformats.org/officeDocument/2006/relationships/hyperlink" Target="mailto:David.Holdstock@local.gov.uk" TargetMode="External"/><Relationship Id="rId14" Type="http://schemas.openxmlformats.org/officeDocument/2006/relationships/chart" Target="charts/chart5.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2" Type="http://schemas.openxmlformats.org/officeDocument/2006/relationships/oleObject" Target="file:///\\BMG-DATA\ARCHIVEDATA\PROJECTS\Pro_8993\Reporting\Charts%208993.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BMG-DATA\ARCHIVEDATA\PROJECTS\Pro_8993\Reporting\Charts%208993.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BMG-DATA\ARCHIVEDATA\PROJECTS\Pro_8993\Reporting\Charts%208993.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BMG-DATA\ARCHIVEDATA\PROJECTS\Pro_8993\Reporting\Charts%208993.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BMG-DATA\ARCHIVEDATA\PROJECTS\Pro_8993\Reporting\Charts%208993.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BMG-DATA\ARCHIVEDATA\PROJECTS\Pro_8993\Reporting\Charts%208993.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BMG-DATA\ARCHIVEDATA\PROJECTS\Pro_8993\Reporting\Charts%208993.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BMG-DATA\ARCHIVEDATA\PROJECTS\Pro_8993\Reporting\Charts%208993.xlsx"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BMG-DATA\ARCHIVEDATA\PROJECTS\Pro_8993\Reporting\Charts%208993.xlsx"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file:///\\BMG-DATA\ARCHIVEDATA\PROJECTS\Pro_8993\Reporting\Charts%208993.xlsx"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oleObject" Target="file:///\\BMG-DATA\ARCHIVEDATA\PROJECTS\Pro_8993\Reporting\Charts%208993.xlsx" TargetMode="External"/><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oleObject" Target="file:///\\BMG-DATA\ARCHIVEDATA\PROJECTS\Pro_8993\Reporting\Charts%208993.xlsx"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oleObject" Target="file:///\\BMG-DATA\ARCHIVEDATA\PROJECTS\Pro_8993\Reporting\Charts%208993.xlsx" TargetMode="External"/><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1.xml"/></Relationships>
</file>

<file path=word/charts/_rels/chart3.xml.rels><?xml version="1.0" encoding="UTF-8" standalone="yes"?>
<Relationships xmlns="http://schemas.openxmlformats.org/package/2006/relationships"><Relationship Id="rId2" Type="http://schemas.openxmlformats.org/officeDocument/2006/relationships/oleObject" Target="file:///\\BMG-DATA\ARCHIVEDATA\PROJECTS\Pro_8993\Reporting\Charts%208993.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BMG-DATA\ARCHIVEDATA\PROJECTS\Pro_8993\Reporting\Charts%208993.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BMG-DATA\ARCHIVEDATA\PROJECTS\Pro_8993\Reporting\Charts%208993.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BMG-DATA\ARCHIVEDATA\PROJECTS\Pro_8993\Reporting\Charts%208993.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BMG-DATA\ARCHIVEDATA\PROJECTS\Pro_8993\Reporting\Charts%208993.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BMG-DATA\ARCHIVEDATA\PROJECTS\Pro_8993\Reporting\Charts%208993.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BMG-DATA\ARCHIVEDATA\PROJECTS\Pro_8993\Reporting\Charts%208993.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Sheet1!$A$10</c:f>
              <c:strCache>
                <c:ptCount val="1"/>
                <c:pt idx="0">
                  <c:v>Know just a little about it </c:v>
                </c:pt>
              </c:strCache>
            </c:strRef>
          </c:tx>
          <c:invertIfNegative val="0"/>
          <c:dPt>
            <c:idx val="1"/>
            <c:invertIfNegative val="0"/>
            <c:bubble3D val="0"/>
            <c:spPr>
              <a:solidFill>
                <a:srgbClr val="1F497D">
                  <a:lumMod val="40000"/>
                  <a:lumOff val="60000"/>
                </a:srgbClr>
              </a:solidFill>
            </c:spPr>
          </c:dPt>
          <c:cat>
            <c:strRef>
              <c:f>Sheet1!$B$9:$I$9</c:f>
              <c:strCache>
                <c:ptCount val="8"/>
                <c:pt idx="0">
                  <c:v>2013 (917)</c:v>
                </c:pt>
                <c:pt idx="1">
                  <c:v>2012 (937)</c:v>
                </c:pt>
                <c:pt idx="2">
                  <c:v>Chief Executives (87)</c:v>
                </c:pt>
                <c:pt idx="3">
                  <c:v>Directors (238)</c:v>
                </c:pt>
                <c:pt idx="4">
                  <c:v>Leaders (81)</c:v>
                </c:pt>
                <c:pt idx="5">
                  <c:v>Chair of Scrutiny (101)</c:v>
                </c:pt>
                <c:pt idx="6">
                  <c:v>Portfolio holders (99)</c:v>
                </c:pt>
                <c:pt idx="7">
                  <c:v>Backbenchers (311)</c:v>
                </c:pt>
              </c:strCache>
            </c:strRef>
          </c:cat>
          <c:val>
            <c:numRef>
              <c:f>Sheet1!$B$10:$I$10</c:f>
              <c:numCache>
                <c:formatCode>0%</c:formatCode>
                <c:ptCount val="8"/>
                <c:pt idx="0">
                  <c:v>0.28000000000000008</c:v>
                </c:pt>
                <c:pt idx="1">
                  <c:v>0.38000000000000056</c:v>
                </c:pt>
                <c:pt idx="2">
                  <c:v>1.0000000000000019E-2</c:v>
                </c:pt>
                <c:pt idx="3">
                  <c:v>0.21000000000000021</c:v>
                </c:pt>
                <c:pt idx="4">
                  <c:v>5.0000000000000079E-2</c:v>
                </c:pt>
                <c:pt idx="5">
                  <c:v>0.43000000000000038</c:v>
                </c:pt>
                <c:pt idx="6">
                  <c:v>0.21000000000000021</c:v>
                </c:pt>
                <c:pt idx="7">
                  <c:v>0.45</c:v>
                </c:pt>
              </c:numCache>
            </c:numRef>
          </c:val>
        </c:ser>
        <c:ser>
          <c:idx val="1"/>
          <c:order val="1"/>
          <c:tx>
            <c:strRef>
              <c:f>Sheet1!$A$11</c:f>
              <c:strCache>
                <c:ptCount val="1"/>
                <c:pt idx="0">
                  <c:v>Know a fair amount about it </c:v>
                </c:pt>
              </c:strCache>
            </c:strRef>
          </c:tx>
          <c:invertIfNegative val="0"/>
          <c:dPt>
            <c:idx val="1"/>
            <c:invertIfNegative val="0"/>
            <c:bubble3D val="0"/>
            <c:spPr>
              <a:solidFill>
                <a:srgbClr val="C0504D">
                  <a:lumMod val="60000"/>
                  <a:lumOff val="40000"/>
                </a:srgbClr>
              </a:solidFill>
            </c:spPr>
          </c:dPt>
          <c:cat>
            <c:strRef>
              <c:f>Sheet1!$B$9:$I$9</c:f>
              <c:strCache>
                <c:ptCount val="8"/>
                <c:pt idx="0">
                  <c:v>2013 (917)</c:v>
                </c:pt>
                <c:pt idx="1">
                  <c:v>2012 (937)</c:v>
                </c:pt>
                <c:pt idx="2">
                  <c:v>Chief Executives (87)</c:v>
                </c:pt>
                <c:pt idx="3">
                  <c:v>Directors (238)</c:v>
                </c:pt>
                <c:pt idx="4">
                  <c:v>Leaders (81)</c:v>
                </c:pt>
                <c:pt idx="5">
                  <c:v>Chair of Scrutiny (101)</c:v>
                </c:pt>
                <c:pt idx="6">
                  <c:v>Portfolio holders (99)</c:v>
                </c:pt>
                <c:pt idx="7">
                  <c:v>Backbenchers (311)</c:v>
                </c:pt>
              </c:strCache>
            </c:strRef>
          </c:cat>
          <c:val>
            <c:numRef>
              <c:f>Sheet1!$B$11:$I$11</c:f>
              <c:numCache>
                <c:formatCode>0%</c:formatCode>
                <c:ptCount val="8"/>
                <c:pt idx="0">
                  <c:v>0.56999999999999995</c:v>
                </c:pt>
                <c:pt idx="1">
                  <c:v>0.49000000000000032</c:v>
                </c:pt>
                <c:pt idx="2">
                  <c:v>0.62000000000000099</c:v>
                </c:pt>
                <c:pt idx="3">
                  <c:v>0.67000000000000126</c:v>
                </c:pt>
                <c:pt idx="4">
                  <c:v>0.60000000000000064</c:v>
                </c:pt>
                <c:pt idx="5">
                  <c:v>0.44000000000000039</c:v>
                </c:pt>
                <c:pt idx="6">
                  <c:v>0.65000000000000124</c:v>
                </c:pt>
                <c:pt idx="7">
                  <c:v>0.48000000000000032</c:v>
                </c:pt>
              </c:numCache>
            </c:numRef>
          </c:val>
        </c:ser>
        <c:ser>
          <c:idx val="2"/>
          <c:order val="2"/>
          <c:tx>
            <c:strRef>
              <c:f>Sheet1!$A$12</c:f>
              <c:strCache>
                <c:ptCount val="1"/>
                <c:pt idx="0">
                  <c:v>Know a great deal about it </c:v>
                </c:pt>
              </c:strCache>
            </c:strRef>
          </c:tx>
          <c:invertIfNegative val="0"/>
          <c:dPt>
            <c:idx val="1"/>
            <c:invertIfNegative val="0"/>
            <c:bubble3D val="0"/>
            <c:spPr>
              <a:solidFill>
                <a:srgbClr val="9BBB59">
                  <a:lumMod val="60000"/>
                  <a:lumOff val="40000"/>
                </a:srgbClr>
              </a:solidFill>
            </c:spPr>
          </c:dPt>
          <c:cat>
            <c:strRef>
              <c:f>Sheet1!$B$9:$I$9</c:f>
              <c:strCache>
                <c:ptCount val="8"/>
                <c:pt idx="0">
                  <c:v>2013 (917)</c:v>
                </c:pt>
                <c:pt idx="1">
                  <c:v>2012 (937)</c:v>
                </c:pt>
                <c:pt idx="2">
                  <c:v>Chief Executives (87)</c:v>
                </c:pt>
                <c:pt idx="3">
                  <c:v>Directors (238)</c:v>
                </c:pt>
                <c:pt idx="4">
                  <c:v>Leaders (81)</c:v>
                </c:pt>
                <c:pt idx="5">
                  <c:v>Chair of Scrutiny (101)</c:v>
                </c:pt>
                <c:pt idx="6">
                  <c:v>Portfolio holders (99)</c:v>
                </c:pt>
                <c:pt idx="7">
                  <c:v>Backbenchers (311)</c:v>
                </c:pt>
              </c:strCache>
            </c:strRef>
          </c:cat>
          <c:val>
            <c:numRef>
              <c:f>Sheet1!$B$12:$I$12</c:f>
              <c:numCache>
                <c:formatCode>0%</c:formatCode>
                <c:ptCount val="8"/>
                <c:pt idx="0">
                  <c:v>0.15000000000000024</c:v>
                </c:pt>
                <c:pt idx="1">
                  <c:v>0.12000000000000002</c:v>
                </c:pt>
                <c:pt idx="2">
                  <c:v>0.37000000000000038</c:v>
                </c:pt>
                <c:pt idx="3">
                  <c:v>0.12000000000000002</c:v>
                </c:pt>
                <c:pt idx="4">
                  <c:v>0.35000000000000031</c:v>
                </c:pt>
                <c:pt idx="5">
                  <c:v>0.14000000000000001</c:v>
                </c:pt>
                <c:pt idx="6">
                  <c:v>0.14000000000000001</c:v>
                </c:pt>
                <c:pt idx="7">
                  <c:v>7.0000000000000034E-2</c:v>
                </c:pt>
              </c:numCache>
            </c:numRef>
          </c:val>
        </c:ser>
        <c:dLbls>
          <c:showLegendKey val="0"/>
          <c:showVal val="1"/>
          <c:showCatName val="0"/>
          <c:showSerName val="0"/>
          <c:showPercent val="0"/>
          <c:showBubbleSize val="0"/>
        </c:dLbls>
        <c:gapWidth val="40"/>
        <c:overlap val="100"/>
        <c:axId val="65116032"/>
        <c:axId val="65205760"/>
      </c:barChart>
      <c:catAx>
        <c:axId val="65116032"/>
        <c:scaling>
          <c:orientation val="maxMin"/>
        </c:scaling>
        <c:delete val="0"/>
        <c:axPos val="l"/>
        <c:majorTickMark val="none"/>
        <c:minorTickMark val="none"/>
        <c:tickLblPos val="low"/>
        <c:crossAx val="65205760"/>
        <c:crosses val="autoZero"/>
        <c:auto val="1"/>
        <c:lblAlgn val="ctr"/>
        <c:lblOffset val="100"/>
        <c:noMultiLvlLbl val="0"/>
      </c:catAx>
      <c:valAx>
        <c:axId val="65205760"/>
        <c:scaling>
          <c:orientation val="minMax"/>
        </c:scaling>
        <c:delete val="1"/>
        <c:axPos val="b"/>
        <c:numFmt formatCode="0%" sourceLinked="1"/>
        <c:majorTickMark val="none"/>
        <c:minorTickMark val="none"/>
        <c:tickLblPos val="none"/>
        <c:crossAx val="65116032"/>
        <c:crosses val="max"/>
        <c:crossBetween val="between"/>
      </c:valAx>
    </c:plotArea>
    <c:legend>
      <c:legendPos val="b"/>
      <c:layout/>
      <c:overlay val="0"/>
    </c:legend>
    <c:plotVisOnly val="1"/>
    <c:dispBlanksAs val="gap"/>
    <c:showDLblsOverMax val="0"/>
  </c:chart>
  <c:spPr>
    <a:ln>
      <a:noFill/>
    </a:ln>
  </c:spPr>
  <c:txPr>
    <a:bodyPr/>
    <a:lstStyle/>
    <a:p>
      <a:pPr>
        <a:defRPr sz="1100">
          <a:effectLst>
            <a:glow rad="101600">
              <a:schemeClr val="bg1">
                <a:alpha val="60000"/>
              </a:schemeClr>
            </a:glow>
          </a:effectLst>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4001972388282201E-2"/>
          <c:y val="1.0271524100068924E-2"/>
          <c:w val="0.95199605522343633"/>
          <c:h val="0.38025809024059631"/>
        </c:manualLayout>
      </c:layout>
      <c:barChart>
        <c:barDir val="bar"/>
        <c:grouping val="stacked"/>
        <c:varyColors val="0"/>
        <c:ser>
          <c:idx val="0"/>
          <c:order val="0"/>
          <c:tx>
            <c:strRef>
              <c:f>Sheet1!$A$220</c:f>
              <c:strCache>
                <c:ptCount val="1"/>
                <c:pt idx="0">
                  <c:v>Lobbying on behalf of local government</c:v>
                </c:pt>
              </c:strCache>
            </c:strRef>
          </c:tx>
          <c:invertIfNegative val="0"/>
          <c:val>
            <c:numRef>
              <c:f>Sheet1!$B$220</c:f>
              <c:numCache>
                <c:formatCode>0%</c:formatCode>
                <c:ptCount val="1"/>
                <c:pt idx="0">
                  <c:v>0.32000000000000051</c:v>
                </c:pt>
              </c:numCache>
            </c:numRef>
          </c:val>
        </c:ser>
        <c:ser>
          <c:idx val="1"/>
          <c:order val="1"/>
          <c:tx>
            <c:strRef>
              <c:f>Sheet1!$A$221</c:f>
              <c:strCache>
                <c:ptCount val="1"/>
                <c:pt idx="0">
                  <c:v>Providing support for sector led improvement (for example, peer challenges and mentoring, support for leadership, workforce management and productivity)</c:v>
                </c:pt>
              </c:strCache>
            </c:strRef>
          </c:tx>
          <c:invertIfNegative val="0"/>
          <c:val>
            <c:numRef>
              <c:f>Sheet1!$B$221</c:f>
              <c:numCache>
                <c:formatCode>0%</c:formatCode>
                <c:ptCount val="1"/>
                <c:pt idx="0">
                  <c:v>0.12000000000000002</c:v>
                </c:pt>
              </c:numCache>
            </c:numRef>
          </c:val>
        </c:ser>
        <c:ser>
          <c:idx val="2"/>
          <c:order val="2"/>
          <c:tx>
            <c:strRef>
              <c:f>Sheet1!$A$222</c:f>
              <c:strCache>
                <c:ptCount val="1"/>
                <c:pt idx="0">
                  <c:v>Providing a range of online tools to help sector led improvement (like Knowledge Hub and LG Inform)</c:v>
                </c:pt>
              </c:strCache>
            </c:strRef>
          </c:tx>
          <c:invertIfNegative val="0"/>
          <c:val>
            <c:numRef>
              <c:f>Sheet1!$B$222</c:f>
              <c:numCache>
                <c:formatCode>0%</c:formatCode>
                <c:ptCount val="1"/>
                <c:pt idx="0">
                  <c:v>2.0000000000000011E-2</c:v>
                </c:pt>
              </c:numCache>
            </c:numRef>
          </c:val>
        </c:ser>
        <c:ser>
          <c:idx val="3"/>
          <c:order val="3"/>
          <c:tx>
            <c:strRef>
              <c:f>Sheet1!$A$223</c:f>
              <c:strCache>
                <c:ptCount val="1"/>
                <c:pt idx="0">
                  <c:v>Providing advice and information through the political group offices</c:v>
                </c:pt>
              </c:strCache>
            </c:strRef>
          </c:tx>
          <c:invertIfNegative val="0"/>
          <c:val>
            <c:numRef>
              <c:f>Sheet1!$B$223</c:f>
              <c:numCache>
                <c:formatCode>0%</c:formatCode>
                <c:ptCount val="1"/>
                <c:pt idx="0">
                  <c:v>0.05</c:v>
                </c:pt>
              </c:numCache>
            </c:numRef>
          </c:val>
        </c:ser>
        <c:ser>
          <c:idx val="4"/>
          <c:order val="4"/>
          <c:tx>
            <c:strRef>
              <c:f>Sheet1!$A$224</c:f>
              <c:strCache>
                <c:ptCount val="1"/>
                <c:pt idx="0">
                  <c:v>Providing legal advice and co-ordination of legal action for councils (for example on property searches and the Icelandic banks)</c:v>
                </c:pt>
              </c:strCache>
            </c:strRef>
          </c:tx>
          <c:invertIfNegative val="0"/>
          <c:val>
            <c:numRef>
              <c:f>Sheet1!$B$224</c:f>
              <c:numCache>
                <c:formatCode>0%</c:formatCode>
                <c:ptCount val="1"/>
                <c:pt idx="0">
                  <c:v>9.0000000000000024E-2</c:v>
                </c:pt>
              </c:numCache>
            </c:numRef>
          </c:val>
        </c:ser>
        <c:ser>
          <c:idx val="5"/>
          <c:order val="5"/>
          <c:tx>
            <c:strRef>
              <c:f>Sheet1!$A$225</c:f>
              <c:strCache>
                <c:ptCount val="1"/>
                <c:pt idx="0">
                  <c:v>Providing up-to-date information about local government (for example, 'first' magazine, e-bulletins and website)</c:v>
                </c:pt>
              </c:strCache>
            </c:strRef>
          </c:tx>
          <c:invertIfNegative val="0"/>
          <c:val>
            <c:numRef>
              <c:f>Sheet1!$B$225</c:f>
              <c:numCache>
                <c:formatCode>0%</c:formatCode>
                <c:ptCount val="1"/>
                <c:pt idx="0">
                  <c:v>0.13</c:v>
                </c:pt>
              </c:numCache>
            </c:numRef>
          </c:val>
        </c:ser>
        <c:ser>
          <c:idx val="6"/>
          <c:order val="6"/>
          <c:tx>
            <c:strRef>
              <c:f>Sheet1!$A$226</c:f>
              <c:strCache>
                <c:ptCount val="1"/>
                <c:pt idx="0">
                  <c:v>Providing conferences and events</c:v>
                </c:pt>
              </c:strCache>
            </c:strRef>
          </c:tx>
          <c:invertIfNegative val="0"/>
          <c:val>
            <c:numRef>
              <c:f>Sheet1!$B$226</c:f>
              <c:numCache>
                <c:formatCode>0%</c:formatCode>
                <c:ptCount val="1"/>
                <c:pt idx="0">
                  <c:v>3.0000000000000002E-2</c:v>
                </c:pt>
              </c:numCache>
            </c:numRef>
          </c:val>
        </c:ser>
        <c:ser>
          <c:idx val="7"/>
          <c:order val="7"/>
          <c:tx>
            <c:strRef>
              <c:f>Sheet1!$A$227</c:f>
              <c:strCache>
                <c:ptCount val="1"/>
                <c:pt idx="0">
                  <c:v>Negotiating national pay, terms and conditions</c:v>
                </c:pt>
              </c:strCache>
            </c:strRef>
          </c:tx>
          <c:invertIfNegative val="0"/>
          <c:val>
            <c:numRef>
              <c:f>Sheet1!$B$227</c:f>
              <c:numCache>
                <c:formatCode>0%</c:formatCode>
                <c:ptCount val="1"/>
                <c:pt idx="0">
                  <c:v>8.0000000000000043E-2</c:v>
                </c:pt>
              </c:numCache>
            </c:numRef>
          </c:val>
        </c:ser>
        <c:ser>
          <c:idx val="8"/>
          <c:order val="8"/>
          <c:tx>
            <c:strRef>
              <c:f>Sheet1!$A$228</c:f>
              <c:strCache>
                <c:ptCount val="1"/>
                <c:pt idx="0">
                  <c:v>Providing employment advice</c:v>
                </c:pt>
              </c:strCache>
            </c:strRef>
          </c:tx>
          <c:invertIfNegative val="0"/>
          <c:val>
            <c:numRef>
              <c:f>Sheet1!$B$228</c:f>
              <c:numCache>
                <c:formatCode>0%</c:formatCode>
                <c:ptCount val="1"/>
                <c:pt idx="0">
                  <c:v>3.0000000000000002E-2</c:v>
                </c:pt>
              </c:numCache>
            </c:numRef>
          </c:val>
        </c:ser>
        <c:ser>
          <c:idx val="9"/>
          <c:order val="9"/>
          <c:tx>
            <c:strRef>
              <c:f>Sheet1!$A$229</c:f>
              <c:strCache>
                <c:ptCount val="1"/>
                <c:pt idx="0">
                  <c:v>Did not rate anything as very useful</c:v>
                </c:pt>
              </c:strCache>
            </c:strRef>
          </c:tx>
          <c:invertIfNegative val="0"/>
          <c:val>
            <c:numRef>
              <c:f>Sheet1!$B$229</c:f>
              <c:numCache>
                <c:formatCode>0%</c:formatCode>
                <c:ptCount val="1"/>
                <c:pt idx="0">
                  <c:v>0.13</c:v>
                </c:pt>
              </c:numCache>
            </c:numRef>
          </c:val>
        </c:ser>
        <c:dLbls>
          <c:showLegendKey val="0"/>
          <c:showVal val="1"/>
          <c:showCatName val="0"/>
          <c:showSerName val="0"/>
          <c:showPercent val="0"/>
          <c:showBubbleSize val="0"/>
        </c:dLbls>
        <c:gapWidth val="40"/>
        <c:overlap val="100"/>
        <c:axId val="59798656"/>
        <c:axId val="59800192"/>
      </c:barChart>
      <c:catAx>
        <c:axId val="59798656"/>
        <c:scaling>
          <c:orientation val="maxMin"/>
        </c:scaling>
        <c:delete val="1"/>
        <c:axPos val="l"/>
        <c:majorTickMark val="none"/>
        <c:minorTickMark val="none"/>
        <c:tickLblPos val="none"/>
        <c:crossAx val="59800192"/>
        <c:crosses val="autoZero"/>
        <c:auto val="1"/>
        <c:lblAlgn val="ctr"/>
        <c:lblOffset val="100"/>
        <c:noMultiLvlLbl val="0"/>
      </c:catAx>
      <c:valAx>
        <c:axId val="59800192"/>
        <c:scaling>
          <c:orientation val="minMax"/>
          <c:max val="1"/>
        </c:scaling>
        <c:delete val="1"/>
        <c:axPos val="b"/>
        <c:numFmt formatCode="0%" sourceLinked="1"/>
        <c:majorTickMark val="none"/>
        <c:minorTickMark val="none"/>
        <c:tickLblPos val="none"/>
        <c:crossAx val="59798656"/>
        <c:crosses val="max"/>
        <c:crossBetween val="between"/>
      </c:valAx>
    </c:plotArea>
    <c:legend>
      <c:legendPos val="b"/>
      <c:layout>
        <c:manualLayout>
          <c:xMode val="edge"/>
          <c:yMode val="edge"/>
          <c:x val="5.1941404436358814E-2"/>
          <c:y val="0.36577573492114279"/>
          <c:w val="0.89263253645640861"/>
          <c:h val="0.60394536670177379"/>
        </c:manualLayout>
      </c:layout>
      <c:overlay val="0"/>
    </c:legend>
    <c:plotVisOnly val="1"/>
    <c:dispBlanksAs val="gap"/>
    <c:showDLblsOverMax val="0"/>
  </c:chart>
  <c:spPr>
    <a:ln>
      <a:noFill/>
    </a:ln>
  </c:spPr>
  <c:txPr>
    <a:bodyPr/>
    <a:lstStyle/>
    <a:p>
      <a:pPr>
        <a:defRPr sz="1100">
          <a:effectLst>
            <a:glow rad="101600">
              <a:schemeClr val="bg1">
                <a:alpha val="60000"/>
              </a:schemeClr>
            </a:glow>
          </a:effectLst>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Sheet1!$A$239</c:f>
              <c:strCache>
                <c:ptCount val="1"/>
                <c:pt idx="0">
                  <c:v>Doesn't tell me much at all about what it does</c:v>
                </c:pt>
              </c:strCache>
            </c:strRef>
          </c:tx>
          <c:invertIfNegative val="0"/>
          <c:dPt>
            <c:idx val="1"/>
            <c:invertIfNegative val="0"/>
            <c:bubble3D val="0"/>
            <c:spPr>
              <a:solidFill>
                <a:srgbClr val="4F81BD">
                  <a:lumMod val="60000"/>
                  <a:lumOff val="40000"/>
                </a:srgbClr>
              </a:solidFill>
              <a:ln>
                <a:solidFill>
                  <a:srgbClr val="4F81BD">
                    <a:lumMod val="60000"/>
                    <a:lumOff val="40000"/>
                  </a:srgbClr>
                </a:solidFill>
              </a:ln>
            </c:spPr>
          </c:dPt>
          <c:cat>
            <c:strRef>
              <c:f>Sheet1!$B$238:$K$238</c:f>
              <c:strCache>
                <c:ptCount val="10"/>
                <c:pt idx="0">
                  <c:v>2013 (917)</c:v>
                </c:pt>
                <c:pt idx="1">
                  <c:v>2012 (937)</c:v>
                </c:pt>
                <c:pt idx="2">
                  <c:v>Officers (325)</c:v>
                </c:pt>
                <c:pt idx="3">
                  <c:v>Frontbench Councillors (281)</c:v>
                </c:pt>
                <c:pt idx="4">
                  <c:v>Backbench Councillors (311)</c:v>
                </c:pt>
                <c:pt idx="5">
                  <c:v>Chief Executives (87)</c:v>
                </c:pt>
                <c:pt idx="6">
                  <c:v>Directors (238)</c:v>
                </c:pt>
                <c:pt idx="7">
                  <c:v>Leaders (81)</c:v>
                </c:pt>
                <c:pt idx="8">
                  <c:v>Chair of Scrutiny (101)</c:v>
                </c:pt>
                <c:pt idx="9">
                  <c:v>Portfolio holders (99)</c:v>
                </c:pt>
              </c:strCache>
            </c:strRef>
          </c:cat>
          <c:val>
            <c:numRef>
              <c:f>Sheet1!$B$239:$K$239</c:f>
              <c:numCache>
                <c:formatCode>0%</c:formatCode>
                <c:ptCount val="10"/>
                <c:pt idx="0">
                  <c:v>0.05</c:v>
                </c:pt>
                <c:pt idx="1">
                  <c:v>6.0000000000000032E-2</c:v>
                </c:pt>
                <c:pt idx="2">
                  <c:v>4.0000000000000022E-2</c:v>
                </c:pt>
                <c:pt idx="3">
                  <c:v>6.0000000000000032E-2</c:v>
                </c:pt>
                <c:pt idx="4">
                  <c:v>0.05</c:v>
                </c:pt>
                <c:pt idx="5">
                  <c:v>1.0000000000000005E-2</c:v>
                </c:pt>
                <c:pt idx="6">
                  <c:v>0.05</c:v>
                </c:pt>
                <c:pt idx="7">
                  <c:v>2.0000000000000011E-2</c:v>
                </c:pt>
                <c:pt idx="8">
                  <c:v>9.0000000000000024E-2</c:v>
                </c:pt>
                <c:pt idx="9">
                  <c:v>0.05</c:v>
                </c:pt>
              </c:numCache>
            </c:numRef>
          </c:val>
        </c:ser>
        <c:ser>
          <c:idx val="1"/>
          <c:order val="1"/>
          <c:tx>
            <c:strRef>
              <c:f>Sheet1!$A$240</c:f>
              <c:strCache>
                <c:ptCount val="1"/>
                <c:pt idx="0">
                  <c:v>Gives me only a limited amount of information</c:v>
                </c:pt>
              </c:strCache>
            </c:strRef>
          </c:tx>
          <c:invertIfNegative val="0"/>
          <c:dPt>
            <c:idx val="1"/>
            <c:invertIfNegative val="0"/>
            <c:bubble3D val="0"/>
            <c:spPr>
              <a:solidFill>
                <a:srgbClr val="C0504D">
                  <a:lumMod val="60000"/>
                  <a:lumOff val="40000"/>
                </a:srgbClr>
              </a:solidFill>
            </c:spPr>
          </c:dPt>
          <c:cat>
            <c:strRef>
              <c:f>Sheet1!$B$238:$K$238</c:f>
              <c:strCache>
                <c:ptCount val="10"/>
                <c:pt idx="0">
                  <c:v>2013 (917)</c:v>
                </c:pt>
                <c:pt idx="1">
                  <c:v>2012 (937)</c:v>
                </c:pt>
                <c:pt idx="2">
                  <c:v>Officers (325)</c:v>
                </c:pt>
                <c:pt idx="3">
                  <c:v>Frontbench Councillors (281)</c:v>
                </c:pt>
                <c:pt idx="4">
                  <c:v>Backbench Councillors (311)</c:v>
                </c:pt>
                <c:pt idx="5">
                  <c:v>Chief Executives (87)</c:v>
                </c:pt>
                <c:pt idx="6">
                  <c:v>Directors (238)</c:v>
                </c:pt>
                <c:pt idx="7">
                  <c:v>Leaders (81)</c:v>
                </c:pt>
                <c:pt idx="8">
                  <c:v>Chair of Scrutiny (101)</c:v>
                </c:pt>
                <c:pt idx="9">
                  <c:v>Portfolio holders (99)</c:v>
                </c:pt>
              </c:strCache>
            </c:strRef>
          </c:cat>
          <c:val>
            <c:numRef>
              <c:f>Sheet1!$B$240:$K$240</c:f>
              <c:numCache>
                <c:formatCode>0%</c:formatCode>
                <c:ptCount val="10"/>
                <c:pt idx="0">
                  <c:v>0.17</c:v>
                </c:pt>
                <c:pt idx="1">
                  <c:v>0.24000000000000021</c:v>
                </c:pt>
                <c:pt idx="2">
                  <c:v>0.14000000000000001</c:v>
                </c:pt>
                <c:pt idx="3">
                  <c:v>0.16</c:v>
                </c:pt>
                <c:pt idx="4">
                  <c:v>0.21000000000000021</c:v>
                </c:pt>
                <c:pt idx="5">
                  <c:v>0.1</c:v>
                </c:pt>
                <c:pt idx="6">
                  <c:v>0.16</c:v>
                </c:pt>
                <c:pt idx="7">
                  <c:v>9.0000000000000024E-2</c:v>
                </c:pt>
                <c:pt idx="8">
                  <c:v>0.19</c:v>
                </c:pt>
                <c:pt idx="9">
                  <c:v>0.18000000000000022</c:v>
                </c:pt>
              </c:numCache>
            </c:numRef>
          </c:val>
        </c:ser>
        <c:ser>
          <c:idx val="2"/>
          <c:order val="2"/>
          <c:tx>
            <c:strRef>
              <c:f>Sheet1!$A$241</c:f>
              <c:strCache>
                <c:ptCount val="1"/>
                <c:pt idx="0">
                  <c:v>Fairly well informed </c:v>
                </c:pt>
              </c:strCache>
            </c:strRef>
          </c:tx>
          <c:invertIfNegative val="0"/>
          <c:dPt>
            <c:idx val="1"/>
            <c:invertIfNegative val="0"/>
            <c:bubble3D val="0"/>
            <c:spPr>
              <a:solidFill>
                <a:srgbClr val="9BBB59">
                  <a:lumMod val="60000"/>
                  <a:lumOff val="40000"/>
                </a:srgbClr>
              </a:solidFill>
            </c:spPr>
          </c:dPt>
          <c:cat>
            <c:strRef>
              <c:f>Sheet1!$B$238:$K$238</c:f>
              <c:strCache>
                <c:ptCount val="10"/>
                <c:pt idx="0">
                  <c:v>2013 (917)</c:v>
                </c:pt>
                <c:pt idx="1">
                  <c:v>2012 (937)</c:v>
                </c:pt>
                <c:pt idx="2">
                  <c:v>Officers (325)</c:v>
                </c:pt>
                <c:pt idx="3">
                  <c:v>Frontbench Councillors (281)</c:v>
                </c:pt>
                <c:pt idx="4">
                  <c:v>Backbench Councillors (311)</c:v>
                </c:pt>
                <c:pt idx="5">
                  <c:v>Chief Executives (87)</c:v>
                </c:pt>
                <c:pt idx="6">
                  <c:v>Directors (238)</c:v>
                </c:pt>
                <c:pt idx="7">
                  <c:v>Leaders (81)</c:v>
                </c:pt>
                <c:pt idx="8">
                  <c:v>Chair of Scrutiny (101)</c:v>
                </c:pt>
                <c:pt idx="9">
                  <c:v>Portfolio holders (99)</c:v>
                </c:pt>
              </c:strCache>
            </c:strRef>
          </c:cat>
          <c:val>
            <c:numRef>
              <c:f>Sheet1!$B$241:$K$241</c:f>
              <c:numCache>
                <c:formatCode>0%</c:formatCode>
                <c:ptCount val="10"/>
                <c:pt idx="0">
                  <c:v>0.52</c:v>
                </c:pt>
                <c:pt idx="1">
                  <c:v>0.48000000000000032</c:v>
                </c:pt>
                <c:pt idx="2">
                  <c:v>0.58000000000000007</c:v>
                </c:pt>
                <c:pt idx="3">
                  <c:v>0.48000000000000032</c:v>
                </c:pt>
                <c:pt idx="4">
                  <c:v>0.5</c:v>
                </c:pt>
                <c:pt idx="5">
                  <c:v>0.47000000000000008</c:v>
                </c:pt>
                <c:pt idx="6">
                  <c:v>0.62000000000000088</c:v>
                </c:pt>
                <c:pt idx="7">
                  <c:v>0.56000000000000005</c:v>
                </c:pt>
                <c:pt idx="8">
                  <c:v>0.5</c:v>
                </c:pt>
                <c:pt idx="9">
                  <c:v>0.4</c:v>
                </c:pt>
              </c:numCache>
            </c:numRef>
          </c:val>
        </c:ser>
        <c:ser>
          <c:idx val="3"/>
          <c:order val="3"/>
          <c:tx>
            <c:strRef>
              <c:f>Sheet1!$A$242</c:f>
              <c:strCache>
                <c:ptCount val="1"/>
                <c:pt idx="0">
                  <c:v>Very well informed</c:v>
                </c:pt>
              </c:strCache>
            </c:strRef>
          </c:tx>
          <c:invertIfNegative val="0"/>
          <c:dPt>
            <c:idx val="1"/>
            <c:invertIfNegative val="0"/>
            <c:bubble3D val="0"/>
            <c:spPr>
              <a:solidFill>
                <a:srgbClr val="8064A2">
                  <a:lumMod val="60000"/>
                  <a:lumOff val="40000"/>
                </a:srgbClr>
              </a:solidFill>
            </c:spPr>
          </c:dPt>
          <c:cat>
            <c:strRef>
              <c:f>Sheet1!$B$238:$K$238</c:f>
              <c:strCache>
                <c:ptCount val="10"/>
                <c:pt idx="0">
                  <c:v>2013 (917)</c:v>
                </c:pt>
                <c:pt idx="1">
                  <c:v>2012 (937)</c:v>
                </c:pt>
                <c:pt idx="2">
                  <c:v>Officers (325)</c:v>
                </c:pt>
                <c:pt idx="3">
                  <c:v>Frontbench Councillors (281)</c:v>
                </c:pt>
                <c:pt idx="4">
                  <c:v>Backbench Councillors (311)</c:v>
                </c:pt>
                <c:pt idx="5">
                  <c:v>Chief Executives (87)</c:v>
                </c:pt>
                <c:pt idx="6">
                  <c:v>Directors (238)</c:v>
                </c:pt>
                <c:pt idx="7">
                  <c:v>Leaders (81)</c:v>
                </c:pt>
                <c:pt idx="8">
                  <c:v>Chair of Scrutiny (101)</c:v>
                </c:pt>
                <c:pt idx="9">
                  <c:v>Portfolio holders (99)</c:v>
                </c:pt>
              </c:strCache>
            </c:strRef>
          </c:cat>
          <c:val>
            <c:numRef>
              <c:f>Sheet1!$B$242:$K$242</c:f>
              <c:numCache>
                <c:formatCode>0%</c:formatCode>
                <c:ptCount val="10"/>
                <c:pt idx="0">
                  <c:v>0.25</c:v>
                </c:pt>
                <c:pt idx="1">
                  <c:v>0.21000000000000021</c:v>
                </c:pt>
                <c:pt idx="2">
                  <c:v>0.23</c:v>
                </c:pt>
                <c:pt idx="3">
                  <c:v>0.30000000000000032</c:v>
                </c:pt>
                <c:pt idx="4">
                  <c:v>0.23</c:v>
                </c:pt>
                <c:pt idx="5">
                  <c:v>0.41000000000000031</c:v>
                </c:pt>
                <c:pt idx="6">
                  <c:v>0.17</c:v>
                </c:pt>
                <c:pt idx="7">
                  <c:v>0.32000000000000051</c:v>
                </c:pt>
                <c:pt idx="8">
                  <c:v>0.22</c:v>
                </c:pt>
                <c:pt idx="9">
                  <c:v>0.36000000000000032</c:v>
                </c:pt>
              </c:numCache>
            </c:numRef>
          </c:val>
        </c:ser>
        <c:ser>
          <c:idx val="4"/>
          <c:order val="4"/>
          <c:tx>
            <c:strRef>
              <c:f>Sheet1!$A$243</c:f>
              <c:strCache>
                <c:ptCount val="1"/>
                <c:pt idx="0">
                  <c:v>Don't know/ No opinion</c:v>
                </c:pt>
              </c:strCache>
            </c:strRef>
          </c:tx>
          <c:invertIfNegative val="0"/>
          <c:dLbls>
            <c:dLbl>
              <c:idx val="3"/>
              <c:layout/>
              <c:tx>
                <c:rich>
                  <a:bodyPr/>
                  <a:lstStyle/>
                  <a:p>
                    <a:r>
                      <a:rPr lang="en-US"/>
                      <a:t>*%</a:t>
                    </a:r>
                  </a:p>
                </c:rich>
              </c:tx>
              <c:showLegendKey val="0"/>
              <c:showVal val="1"/>
              <c:showCatName val="0"/>
              <c:showSerName val="0"/>
              <c:showPercent val="0"/>
              <c:showBubbleSize val="0"/>
            </c:dLbl>
            <c:dLbl>
              <c:idx val="5"/>
              <c:delete val="1"/>
            </c:dLbl>
            <c:dLbl>
              <c:idx val="8"/>
              <c:delete val="1"/>
            </c:dLbl>
            <c:dLbl>
              <c:idx val="9"/>
              <c:delete val="1"/>
            </c:dLbl>
            <c:showLegendKey val="0"/>
            <c:showVal val="1"/>
            <c:showCatName val="0"/>
            <c:showSerName val="0"/>
            <c:showPercent val="0"/>
            <c:showBubbleSize val="0"/>
            <c:showLeaderLines val="0"/>
          </c:dLbls>
          <c:cat>
            <c:strRef>
              <c:f>Sheet1!$B$238:$K$238</c:f>
              <c:strCache>
                <c:ptCount val="10"/>
                <c:pt idx="0">
                  <c:v>2013 (917)</c:v>
                </c:pt>
                <c:pt idx="1">
                  <c:v>2012 (937)</c:v>
                </c:pt>
                <c:pt idx="2">
                  <c:v>Officers (325)</c:v>
                </c:pt>
                <c:pt idx="3">
                  <c:v>Frontbench Councillors (281)</c:v>
                </c:pt>
                <c:pt idx="4">
                  <c:v>Backbench Councillors (311)</c:v>
                </c:pt>
                <c:pt idx="5">
                  <c:v>Chief Executives (87)</c:v>
                </c:pt>
                <c:pt idx="6">
                  <c:v>Directors (238)</c:v>
                </c:pt>
                <c:pt idx="7">
                  <c:v>Leaders (81)</c:v>
                </c:pt>
                <c:pt idx="8">
                  <c:v>Chair of Scrutiny (101)</c:v>
                </c:pt>
                <c:pt idx="9">
                  <c:v>Portfolio holders (99)</c:v>
                </c:pt>
              </c:strCache>
            </c:strRef>
          </c:cat>
          <c:val>
            <c:numRef>
              <c:f>Sheet1!$B$243:$K$243</c:f>
              <c:numCache>
                <c:formatCode>0%</c:formatCode>
                <c:ptCount val="10"/>
                <c:pt idx="0">
                  <c:v>1.0000000000000005E-2</c:v>
                </c:pt>
                <c:pt idx="1">
                  <c:v>1.0000000000000005E-2</c:v>
                </c:pt>
                <c:pt idx="2">
                  <c:v>1.0000000000000005E-2</c:v>
                </c:pt>
                <c:pt idx="3">
                  <c:v>4.000000000000007E-3</c:v>
                </c:pt>
                <c:pt idx="4">
                  <c:v>1.0000000000000005E-2</c:v>
                </c:pt>
                <c:pt idx="5">
                  <c:v>0</c:v>
                </c:pt>
                <c:pt idx="6">
                  <c:v>1.0000000000000005E-2</c:v>
                </c:pt>
                <c:pt idx="7">
                  <c:v>1.0000000000000005E-2</c:v>
                </c:pt>
                <c:pt idx="8">
                  <c:v>0</c:v>
                </c:pt>
                <c:pt idx="9">
                  <c:v>0</c:v>
                </c:pt>
              </c:numCache>
            </c:numRef>
          </c:val>
        </c:ser>
        <c:dLbls>
          <c:showLegendKey val="0"/>
          <c:showVal val="1"/>
          <c:showCatName val="0"/>
          <c:showSerName val="0"/>
          <c:showPercent val="0"/>
          <c:showBubbleSize val="0"/>
        </c:dLbls>
        <c:gapWidth val="40"/>
        <c:overlap val="100"/>
        <c:axId val="59819520"/>
        <c:axId val="59857536"/>
      </c:barChart>
      <c:catAx>
        <c:axId val="59819520"/>
        <c:scaling>
          <c:orientation val="maxMin"/>
        </c:scaling>
        <c:delete val="0"/>
        <c:axPos val="l"/>
        <c:majorTickMark val="none"/>
        <c:minorTickMark val="none"/>
        <c:tickLblPos val="low"/>
        <c:crossAx val="59857536"/>
        <c:crosses val="autoZero"/>
        <c:auto val="1"/>
        <c:lblAlgn val="ctr"/>
        <c:lblOffset val="100"/>
        <c:noMultiLvlLbl val="0"/>
      </c:catAx>
      <c:valAx>
        <c:axId val="59857536"/>
        <c:scaling>
          <c:orientation val="minMax"/>
        </c:scaling>
        <c:delete val="1"/>
        <c:axPos val="b"/>
        <c:numFmt formatCode="0%" sourceLinked="1"/>
        <c:majorTickMark val="none"/>
        <c:minorTickMark val="none"/>
        <c:tickLblPos val="none"/>
        <c:crossAx val="59819520"/>
        <c:crosses val="max"/>
        <c:crossBetween val="between"/>
      </c:valAx>
    </c:plotArea>
    <c:legend>
      <c:legendPos val="b"/>
      <c:layout/>
      <c:overlay val="0"/>
    </c:legend>
    <c:plotVisOnly val="1"/>
    <c:dispBlanksAs val="gap"/>
    <c:showDLblsOverMax val="0"/>
  </c:chart>
  <c:spPr>
    <a:ln>
      <a:noFill/>
    </a:ln>
  </c:spPr>
  <c:txPr>
    <a:bodyPr/>
    <a:lstStyle/>
    <a:p>
      <a:pPr>
        <a:defRPr sz="1100">
          <a:effectLst>
            <a:glow rad="101600">
              <a:schemeClr val="bg1">
                <a:alpha val="60000"/>
              </a:schemeClr>
            </a:glow>
          </a:effectLst>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862032048625532"/>
          <c:y val="3.2979976442874072E-2"/>
          <c:w val="0.4772568724962013"/>
          <c:h val="0.94817432273262658"/>
        </c:manualLayout>
      </c:layout>
      <c:barChart>
        <c:barDir val="bar"/>
        <c:grouping val="clustered"/>
        <c:varyColors val="0"/>
        <c:ser>
          <c:idx val="0"/>
          <c:order val="0"/>
          <c:invertIfNegative val="0"/>
          <c:dLbls>
            <c:dLbl>
              <c:idx val="18"/>
              <c:tx>
                <c:rich>
                  <a:bodyPr/>
                  <a:lstStyle/>
                  <a:p>
                    <a:r>
                      <a:rPr lang="en-US"/>
                      <a:t>*%</a:t>
                    </a:r>
                  </a:p>
                </c:rich>
              </c:tx>
              <c:showLegendKey val="0"/>
              <c:showVal val="1"/>
              <c:showCatName val="0"/>
              <c:showSerName val="0"/>
              <c:showPercent val="0"/>
              <c:showBubbleSize val="0"/>
            </c:dLbl>
            <c:dLbl>
              <c:idx val="19"/>
              <c:tx>
                <c:rich>
                  <a:bodyPr/>
                  <a:lstStyle/>
                  <a:p>
                    <a:r>
                      <a:rPr lang="en-US"/>
                      <a:t>*%</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Sheet1!$A$253:$A$270</c:f>
              <c:strCache>
                <c:ptCount val="18"/>
                <c:pt idx="0">
                  <c:v>'first' magazine</c:v>
                </c:pt>
                <c:pt idx="1">
                  <c:v>Events</c:v>
                </c:pt>
                <c:pt idx="2">
                  <c:v>Media work/press releases</c:v>
                </c:pt>
                <c:pt idx="3">
                  <c:v>LGA website</c:v>
                </c:pt>
                <c:pt idx="4">
                  <c:v>Publications (for example 'Rewiring Public Services' booklets)</c:v>
                </c:pt>
                <c:pt idx="5">
                  <c:v>Other e-bulletins (for example, children and young people e-bulletin, finance e-bulletin)</c:v>
                </c:pt>
                <c:pt idx="6">
                  <c:v>LGA Chairman's weekly email</c:v>
                </c:pt>
                <c:pt idx="7">
                  <c:v>LGA Chief Executive's email</c:v>
                </c:pt>
                <c:pt idx="8">
                  <c:v>Political group offices e-bulletin</c:v>
                </c:pt>
                <c:pt idx="9">
                  <c:v>Face-to-face contact, for example, with your principal advisor</c:v>
                </c:pt>
                <c:pt idx="10">
                  <c:v>Knowledge Hub</c:v>
                </c:pt>
                <c:pt idx="11">
                  <c:v>Parliamentary bulletin</c:v>
                </c:pt>
                <c:pt idx="12">
                  <c:v>'first online'</c:v>
                </c:pt>
                <c:pt idx="13">
                  <c:v>Social media (for example Twitter)</c:v>
                </c:pt>
                <c:pt idx="14">
                  <c:v>Leader of council/other colleagues</c:v>
                </c:pt>
                <c:pt idx="15">
                  <c:v>Other</c:v>
                </c:pt>
                <c:pt idx="16">
                  <c:v>None</c:v>
                </c:pt>
                <c:pt idx="17">
                  <c:v>Don't know/No comment</c:v>
                </c:pt>
              </c:strCache>
            </c:strRef>
          </c:cat>
          <c:val>
            <c:numRef>
              <c:f>Sheet1!$B$253:$B$270</c:f>
              <c:numCache>
                <c:formatCode>0%</c:formatCode>
                <c:ptCount val="18"/>
                <c:pt idx="0">
                  <c:v>0.67000000000000115</c:v>
                </c:pt>
                <c:pt idx="1">
                  <c:v>0.5</c:v>
                </c:pt>
                <c:pt idx="2">
                  <c:v>0.49000000000000032</c:v>
                </c:pt>
                <c:pt idx="3">
                  <c:v>0.47000000000000008</c:v>
                </c:pt>
                <c:pt idx="4">
                  <c:v>0.44</c:v>
                </c:pt>
                <c:pt idx="5">
                  <c:v>0.42000000000000032</c:v>
                </c:pt>
                <c:pt idx="6">
                  <c:v>0.39000000000000051</c:v>
                </c:pt>
                <c:pt idx="7">
                  <c:v>0.33000000000000057</c:v>
                </c:pt>
                <c:pt idx="8">
                  <c:v>0.31000000000000044</c:v>
                </c:pt>
                <c:pt idx="9">
                  <c:v>0.28000000000000008</c:v>
                </c:pt>
                <c:pt idx="10">
                  <c:v>0.21000000000000021</c:v>
                </c:pt>
                <c:pt idx="11">
                  <c:v>0.2</c:v>
                </c:pt>
                <c:pt idx="12">
                  <c:v>0.18000000000000022</c:v>
                </c:pt>
                <c:pt idx="13">
                  <c:v>0.12000000000000002</c:v>
                </c:pt>
                <c:pt idx="14">
                  <c:v>3.0000000000000002E-2</c:v>
                </c:pt>
                <c:pt idx="15">
                  <c:v>4.0000000000000022E-2</c:v>
                </c:pt>
                <c:pt idx="16">
                  <c:v>1.0000000000000005E-2</c:v>
                </c:pt>
                <c:pt idx="17">
                  <c:v>0.05</c:v>
                </c:pt>
              </c:numCache>
            </c:numRef>
          </c:val>
        </c:ser>
        <c:dLbls>
          <c:showLegendKey val="0"/>
          <c:showVal val="1"/>
          <c:showCatName val="0"/>
          <c:showSerName val="0"/>
          <c:showPercent val="0"/>
          <c:showBubbleSize val="0"/>
        </c:dLbls>
        <c:gapWidth val="40"/>
        <c:axId val="59873536"/>
        <c:axId val="60081280"/>
      </c:barChart>
      <c:catAx>
        <c:axId val="59873536"/>
        <c:scaling>
          <c:orientation val="maxMin"/>
        </c:scaling>
        <c:delete val="0"/>
        <c:axPos val="l"/>
        <c:majorTickMark val="none"/>
        <c:minorTickMark val="none"/>
        <c:tickLblPos val="low"/>
        <c:txPr>
          <a:bodyPr/>
          <a:lstStyle/>
          <a:p>
            <a:pPr>
              <a:defRPr sz="900"/>
            </a:pPr>
            <a:endParaRPr lang="en-US"/>
          </a:p>
        </c:txPr>
        <c:crossAx val="60081280"/>
        <c:crosses val="autoZero"/>
        <c:auto val="1"/>
        <c:lblAlgn val="ctr"/>
        <c:lblOffset val="100"/>
        <c:noMultiLvlLbl val="0"/>
      </c:catAx>
      <c:valAx>
        <c:axId val="60081280"/>
        <c:scaling>
          <c:orientation val="minMax"/>
        </c:scaling>
        <c:delete val="1"/>
        <c:axPos val="b"/>
        <c:numFmt formatCode="0%" sourceLinked="1"/>
        <c:majorTickMark val="none"/>
        <c:minorTickMark val="none"/>
        <c:tickLblPos val="none"/>
        <c:crossAx val="59873536"/>
        <c:crosses val="max"/>
        <c:crossBetween val="between"/>
      </c:valAx>
    </c:plotArea>
    <c:plotVisOnly val="1"/>
    <c:dispBlanksAs val="gap"/>
    <c:showDLblsOverMax val="0"/>
  </c:chart>
  <c:spPr>
    <a:ln>
      <a:noFill/>
    </a:ln>
  </c:spPr>
  <c:txPr>
    <a:bodyPr/>
    <a:lstStyle/>
    <a:p>
      <a:pPr>
        <a:defRPr>
          <a:effectLst>
            <a:glow rad="101600">
              <a:schemeClr val="bg1">
                <a:alpha val="60000"/>
              </a:schemeClr>
            </a:glow>
          </a:effectLst>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4369334940624259"/>
          <c:y val="3.0059044551798191E-2"/>
          <c:w val="0.43241957133208619"/>
          <c:h val="0.94202898550724556"/>
        </c:manualLayout>
      </c:layout>
      <c:barChart>
        <c:barDir val="bar"/>
        <c:grouping val="clustered"/>
        <c:varyColors val="0"/>
        <c:ser>
          <c:idx val="0"/>
          <c:order val="0"/>
          <c:invertIfNegative val="0"/>
          <c:dLbls>
            <c:dLbl>
              <c:idx val="16"/>
              <c:layout/>
              <c:tx>
                <c:rich>
                  <a:bodyPr/>
                  <a:lstStyle/>
                  <a:p>
                    <a:r>
                      <a:rPr lang="en-US"/>
                      <a:t>*%</a:t>
                    </a:r>
                  </a:p>
                </c:rich>
              </c:tx>
              <c:showLegendKey val="0"/>
              <c:showVal val="1"/>
              <c:showCatName val="0"/>
              <c:showSerName val="0"/>
              <c:showPercent val="0"/>
              <c:showBubbleSize val="0"/>
            </c:dLbl>
            <c:dLbl>
              <c:idx val="17"/>
              <c:layout/>
              <c:tx>
                <c:rich>
                  <a:bodyPr/>
                  <a:lstStyle/>
                  <a:p>
                    <a:r>
                      <a:rPr lang="en-US"/>
                      <a:t>*%</a:t>
                    </a:r>
                  </a:p>
                </c:rich>
              </c:tx>
              <c:showLegendKey val="0"/>
              <c:showVal val="1"/>
              <c:showCatName val="0"/>
              <c:showSerName val="0"/>
              <c:showPercent val="0"/>
              <c:showBubbleSize val="0"/>
            </c:dLbl>
            <c:dLbl>
              <c:idx val="18"/>
              <c:layout/>
              <c:tx>
                <c:rich>
                  <a:bodyPr/>
                  <a:lstStyle/>
                  <a:p>
                    <a:r>
                      <a:rPr lang="en-US"/>
                      <a:t>*%</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Sheet1!$A$277:$A$298</c:f>
              <c:strCache>
                <c:ptCount val="22"/>
                <c:pt idx="0">
                  <c:v>'first' magazine</c:v>
                </c:pt>
                <c:pt idx="1">
                  <c:v>LGA Chairman's weekly email</c:v>
                </c:pt>
                <c:pt idx="2">
                  <c:v>LGA Chief Executive's email</c:v>
                </c:pt>
                <c:pt idx="3">
                  <c:v>Other e-bulletins (for example, children and young people e-bulletin, finance e-bulletin)</c:v>
                </c:pt>
                <c:pt idx="4">
                  <c:v>LGA website</c:v>
                </c:pt>
                <c:pt idx="5">
                  <c:v>Face-to-face contact, for example, with your principal advisor</c:v>
                </c:pt>
                <c:pt idx="6">
                  <c:v>Other online (general)</c:v>
                </c:pt>
                <c:pt idx="7">
                  <c:v>Political group offices e-bulletin</c:v>
                </c:pt>
                <c:pt idx="8">
                  <c:v>Publications (for example 'Rewiring Public Services' booklets)</c:v>
                </c:pt>
                <c:pt idx="9">
                  <c:v>Newsletters/post/letters/paper based</c:v>
                </c:pt>
                <c:pt idx="10">
                  <c:v>Parliamentary bulletin</c:v>
                </c:pt>
                <c:pt idx="11">
                  <c:v>'first online'</c:v>
                </c:pt>
                <c:pt idx="12">
                  <c:v>Direct email and post</c:v>
                </c:pt>
                <c:pt idx="13">
                  <c:v>Media work/press releases</c:v>
                </c:pt>
                <c:pt idx="14">
                  <c:v>Social media (for example Twitter)</c:v>
                </c:pt>
                <c:pt idx="15">
                  <c:v>Events</c:v>
                </c:pt>
                <c:pt idx="16">
                  <c:v>Knowledge Hub</c:v>
                </c:pt>
                <c:pt idx="17">
                  <c:v>Word of mouth</c:v>
                </c:pt>
                <c:pt idx="18">
                  <c:v>Leader of council/other colleagues</c:v>
                </c:pt>
                <c:pt idx="19">
                  <c:v>Not applicable</c:v>
                </c:pt>
                <c:pt idx="20">
                  <c:v>Other</c:v>
                </c:pt>
                <c:pt idx="21">
                  <c:v>None</c:v>
                </c:pt>
              </c:strCache>
            </c:strRef>
          </c:cat>
          <c:val>
            <c:numRef>
              <c:f>Sheet1!$B$277:$B$298</c:f>
              <c:numCache>
                <c:formatCode>0%</c:formatCode>
                <c:ptCount val="22"/>
                <c:pt idx="0">
                  <c:v>0.21000000000000021</c:v>
                </c:pt>
                <c:pt idx="1">
                  <c:v>0.19</c:v>
                </c:pt>
                <c:pt idx="2">
                  <c:v>0.18000000000000022</c:v>
                </c:pt>
                <c:pt idx="3">
                  <c:v>9.0000000000000024E-2</c:v>
                </c:pt>
                <c:pt idx="4">
                  <c:v>8.0000000000000043E-2</c:v>
                </c:pt>
                <c:pt idx="5">
                  <c:v>4.0000000000000022E-2</c:v>
                </c:pt>
                <c:pt idx="6">
                  <c:v>4.0000000000000022E-2</c:v>
                </c:pt>
                <c:pt idx="7">
                  <c:v>2.0000000000000011E-2</c:v>
                </c:pt>
                <c:pt idx="8">
                  <c:v>2.0000000000000011E-2</c:v>
                </c:pt>
                <c:pt idx="9">
                  <c:v>2.0000000000000011E-2</c:v>
                </c:pt>
                <c:pt idx="10">
                  <c:v>1.0000000000000005E-2</c:v>
                </c:pt>
                <c:pt idx="11">
                  <c:v>1.0000000000000005E-2</c:v>
                </c:pt>
                <c:pt idx="12">
                  <c:v>1.0000000000000005E-2</c:v>
                </c:pt>
                <c:pt idx="13">
                  <c:v>1.0000000000000005E-2</c:v>
                </c:pt>
                <c:pt idx="14">
                  <c:v>1.0000000000000005E-2</c:v>
                </c:pt>
                <c:pt idx="15">
                  <c:v>1.0000000000000005E-2</c:v>
                </c:pt>
                <c:pt idx="16">
                  <c:v>4.000000000000007E-3</c:v>
                </c:pt>
                <c:pt idx="17">
                  <c:v>4.000000000000007E-3</c:v>
                </c:pt>
                <c:pt idx="18">
                  <c:v>4.000000000000007E-3</c:v>
                </c:pt>
                <c:pt idx="19">
                  <c:v>1.0000000000000005E-2</c:v>
                </c:pt>
                <c:pt idx="20">
                  <c:v>4.0000000000000022E-2</c:v>
                </c:pt>
                <c:pt idx="21">
                  <c:v>1.0000000000000005E-2</c:v>
                </c:pt>
              </c:numCache>
            </c:numRef>
          </c:val>
        </c:ser>
        <c:dLbls>
          <c:showLegendKey val="0"/>
          <c:showVal val="1"/>
          <c:showCatName val="0"/>
          <c:showSerName val="0"/>
          <c:showPercent val="0"/>
          <c:showBubbleSize val="0"/>
        </c:dLbls>
        <c:gapWidth val="40"/>
        <c:axId val="60092416"/>
        <c:axId val="60095104"/>
      </c:barChart>
      <c:catAx>
        <c:axId val="60092416"/>
        <c:scaling>
          <c:orientation val="maxMin"/>
        </c:scaling>
        <c:delete val="0"/>
        <c:axPos val="l"/>
        <c:majorTickMark val="none"/>
        <c:minorTickMark val="none"/>
        <c:tickLblPos val="low"/>
        <c:crossAx val="60095104"/>
        <c:crosses val="autoZero"/>
        <c:auto val="1"/>
        <c:lblAlgn val="ctr"/>
        <c:lblOffset val="100"/>
        <c:noMultiLvlLbl val="0"/>
      </c:catAx>
      <c:valAx>
        <c:axId val="60095104"/>
        <c:scaling>
          <c:orientation val="minMax"/>
        </c:scaling>
        <c:delete val="1"/>
        <c:axPos val="b"/>
        <c:numFmt formatCode="0%" sourceLinked="1"/>
        <c:majorTickMark val="none"/>
        <c:minorTickMark val="none"/>
        <c:tickLblPos val="none"/>
        <c:crossAx val="60092416"/>
        <c:crosses val="max"/>
        <c:crossBetween val="between"/>
      </c:valAx>
    </c:plotArea>
    <c:plotVisOnly val="1"/>
    <c:dispBlanksAs val="gap"/>
    <c:showDLblsOverMax val="0"/>
  </c:chart>
  <c:spPr>
    <a:ln>
      <a:noFill/>
    </a:ln>
  </c:spPr>
  <c:txPr>
    <a:bodyPr/>
    <a:lstStyle/>
    <a:p>
      <a:pPr>
        <a:defRPr>
          <a:effectLst>
            <a:glow rad="101600">
              <a:schemeClr val="bg1">
                <a:alpha val="60000"/>
              </a:schemeClr>
            </a:glow>
          </a:effectLst>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Sheet1!$A$308</c:f>
              <c:strCache>
                <c:ptCount val="1"/>
                <c:pt idx="0">
                  <c:v>Never heard of it</c:v>
                </c:pt>
              </c:strCache>
            </c:strRef>
          </c:tx>
          <c:invertIfNegative val="0"/>
          <c:cat>
            <c:strRef>
              <c:f>Sheet1!$B$307:$K$307</c:f>
              <c:strCache>
                <c:ptCount val="10"/>
                <c:pt idx="0">
                  <c:v>Total (917)</c:v>
                </c:pt>
                <c:pt idx="1">
                  <c:v>East (126)</c:v>
                </c:pt>
                <c:pt idx="2">
                  <c:v>East Midlands (113)</c:v>
                </c:pt>
                <c:pt idx="3">
                  <c:v>London (91)</c:v>
                </c:pt>
                <c:pt idx="4">
                  <c:v>North East (66)</c:v>
                </c:pt>
                <c:pt idx="5">
                  <c:v>North West (93)</c:v>
                </c:pt>
                <c:pt idx="6">
                  <c:v>South East (145)</c:v>
                </c:pt>
                <c:pt idx="7">
                  <c:v>South West (92)</c:v>
                </c:pt>
                <c:pt idx="8">
                  <c:v>West Midlands (101)</c:v>
                </c:pt>
                <c:pt idx="9">
                  <c:v>Yorks. and the Humber (90)</c:v>
                </c:pt>
              </c:strCache>
            </c:strRef>
          </c:cat>
          <c:val>
            <c:numRef>
              <c:f>Sheet1!$B$308:$K$308</c:f>
              <c:numCache>
                <c:formatCode>0%</c:formatCode>
                <c:ptCount val="10"/>
                <c:pt idx="0">
                  <c:v>0.22</c:v>
                </c:pt>
                <c:pt idx="1">
                  <c:v>0.18000000000000022</c:v>
                </c:pt>
                <c:pt idx="2">
                  <c:v>0.16</c:v>
                </c:pt>
                <c:pt idx="3">
                  <c:v>0.31000000000000044</c:v>
                </c:pt>
                <c:pt idx="4">
                  <c:v>0.21000000000000021</c:v>
                </c:pt>
                <c:pt idx="5">
                  <c:v>0.23</c:v>
                </c:pt>
                <c:pt idx="6">
                  <c:v>0.29000000000000031</c:v>
                </c:pt>
                <c:pt idx="7">
                  <c:v>0.16</c:v>
                </c:pt>
                <c:pt idx="8">
                  <c:v>0.24000000000000021</c:v>
                </c:pt>
                <c:pt idx="9">
                  <c:v>0.17</c:v>
                </c:pt>
              </c:numCache>
            </c:numRef>
          </c:val>
        </c:ser>
        <c:ser>
          <c:idx val="1"/>
          <c:order val="1"/>
          <c:tx>
            <c:strRef>
              <c:f>Sheet1!$A$309</c:f>
              <c:strCache>
                <c:ptCount val="1"/>
                <c:pt idx="0">
                  <c:v>Heard of but know nothing about it </c:v>
                </c:pt>
              </c:strCache>
            </c:strRef>
          </c:tx>
          <c:invertIfNegative val="0"/>
          <c:cat>
            <c:strRef>
              <c:f>Sheet1!$B$307:$K$307</c:f>
              <c:strCache>
                <c:ptCount val="10"/>
                <c:pt idx="0">
                  <c:v>Total (917)</c:v>
                </c:pt>
                <c:pt idx="1">
                  <c:v>East (126)</c:v>
                </c:pt>
                <c:pt idx="2">
                  <c:v>East Midlands (113)</c:v>
                </c:pt>
                <c:pt idx="3">
                  <c:v>London (91)</c:v>
                </c:pt>
                <c:pt idx="4">
                  <c:v>North East (66)</c:v>
                </c:pt>
                <c:pt idx="5">
                  <c:v>North West (93)</c:v>
                </c:pt>
                <c:pt idx="6">
                  <c:v>South East (145)</c:v>
                </c:pt>
                <c:pt idx="7">
                  <c:v>South West (92)</c:v>
                </c:pt>
                <c:pt idx="8">
                  <c:v>West Midlands (101)</c:v>
                </c:pt>
                <c:pt idx="9">
                  <c:v>Yorks. and the Humber (90)</c:v>
                </c:pt>
              </c:strCache>
            </c:strRef>
          </c:cat>
          <c:val>
            <c:numRef>
              <c:f>Sheet1!$B$309:$K$309</c:f>
              <c:numCache>
                <c:formatCode>0%</c:formatCode>
                <c:ptCount val="10"/>
                <c:pt idx="0">
                  <c:v>0.16</c:v>
                </c:pt>
                <c:pt idx="1">
                  <c:v>0.19</c:v>
                </c:pt>
                <c:pt idx="2">
                  <c:v>0.17</c:v>
                </c:pt>
                <c:pt idx="3">
                  <c:v>0.14000000000000001</c:v>
                </c:pt>
                <c:pt idx="4">
                  <c:v>0.2</c:v>
                </c:pt>
                <c:pt idx="5">
                  <c:v>0.19</c:v>
                </c:pt>
                <c:pt idx="6">
                  <c:v>0.13</c:v>
                </c:pt>
                <c:pt idx="7">
                  <c:v>0.14000000000000001</c:v>
                </c:pt>
                <c:pt idx="8">
                  <c:v>9.0000000000000024E-2</c:v>
                </c:pt>
                <c:pt idx="9">
                  <c:v>0.2</c:v>
                </c:pt>
              </c:numCache>
            </c:numRef>
          </c:val>
        </c:ser>
        <c:ser>
          <c:idx val="2"/>
          <c:order val="2"/>
          <c:tx>
            <c:strRef>
              <c:f>Sheet1!$A$310</c:f>
              <c:strCache>
                <c:ptCount val="1"/>
                <c:pt idx="0">
                  <c:v>Know just a little about it </c:v>
                </c:pt>
              </c:strCache>
            </c:strRef>
          </c:tx>
          <c:invertIfNegative val="0"/>
          <c:cat>
            <c:strRef>
              <c:f>Sheet1!$B$307:$K$307</c:f>
              <c:strCache>
                <c:ptCount val="10"/>
                <c:pt idx="0">
                  <c:v>Total (917)</c:v>
                </c:pt>
                <c:pt idx="1">
                  <c:v>East (126)</c:v>
                </c:pt>
                <c:pt idx="2">
                  <c:v>East Midlands (113)</c:v>
                </c:pt>
                <c:pt idx="3">
                  <c:v>London (91)</c:v>
                </c:pt>
                <c:pt idx="4">
                  <c:v>North East (66)</c:v>
                </c:pt>
                <c:pt idx="5">
                  <c:v>North West (93)</c:v>
                </c:pt>
                <c:pt idx="6">
                  <c:v>South East (145)</c:v>
                </c:pt>
                <c:pt idx="7">
                  <c:v>South West (92)</c:v>
                </c:pt>
                <c:pt idx="8">
                  <c:v>West Midlands (101)</c:v>
                </c:pt>
                <c:pt idx="9">
                  <c:v>Yorks. and the Humber (90)</c:v>
                </c:pt>
              </c:strCache>
            </c:strRef>
          </c:cat>
          <c:val>
            <c:numRef>
              <c:f>Sheet1!$B$310:$K$310</c:f>
              <c:numCache>
                <c:formatCode>0%</c:formatCode>
                <c:ptCount val="10"/>
                <c:pt idx="0">
                  <c:v>0.31000000000000044</c:v>
                </c:pt>
                <c:pt idx="1">
                  <c:v>0.29000000000000031</c:v>
                </c:pt>
                <c:pt idx="2">
                  <c:v>0.32000000000000051</c:v>
                </c:pt>
                <c:pt idx="3">
                  <c:v>0.30000000000000032</c:v>
                </c:pt>
                <c:pt idx="4">
                  <c:v>0.35000000000000031</c:v>
                </c:pt>
                <c:pt idx="5">
                  <c:v>0.30000000000000032</c:v>
                </c:pt>
                <c:pt idx="6">
                  <c:v>0.27</c:v>
                </c:pt>
                <c:pt idx="7">
                  <c:v>0.30000000000000032</c:v>
                </c:pt>
                <c:pt idx="8">
                  <c:v>0.3800000000000005</c:v>
                </c:pt>
                <c:pt idx="9">
                  <c:v>0.32000000000000051</c:v>
                </c:pt>
              </c:numCache>
            </c:numRef>
          </c:val>
        </c:ser>
        <c:ser>
          <c:idx val="3"/>
          <c:order val="3"/>
          <c:tx>
            <c:strRef>
              <c:f>Sheet1!$A$311</c:f>
              <c:strCache>
                <c:ptCount val="1"/>
                <c:pt idx="0">
                  <c:v>Know a fair amount about it </c:v>
                </c:pt>
              </c:strCache>
            </c:strRef>
          </c:tx>
          <c:invertIfNegative val="0"/>
          <c:cat>
            <c:strRef>
              <c:f>Sheet1!$B$307:$K$307</c:f>
              <c:strCache>
                <c:ptCount val="10"/>
                <c:pt idx="0">
                  <c:v>Total (917)</c:v>
                </c:pt>
                <c:pt idx="1">
                  <c:v>East (126)</c:v>
                </c:pt>
                <c:pt idx="2">
                  <c:v>East Midlands (113)</c:v>
                </c:pt>
                <c:pt idx="3">
                  <c:v>London (91)</c:v>
                </c:pt>
                <c:pt idx="4">
                  <c:v>North East (66)</c:v>
                </c:pt>
                <c:pt idx="5">
                  <c:v>North West (93)</c:v>
                </c:pt>
                <c:pt idx="6">
                  <c:v>South East (145)</c:v>
                </c:pt>
                <c:pt idx="7">
                  <c:v>South West (92)</c:v>
                </c:pt>
                <c:pt idx="8">
                  <c:v>West Midlands (101)</c:v>
                </c:pt>
                <c:pt idx="9">
                  <c:v>Yorks. and the Humber (90)</c:v>
                </c:pt>
              </c:strCache>
            </c:strRef>
          </c:cat>
          <c:val>
            <c:numRef>
              <c:f>Sheet1!$B$311:$K$311</c:f>
              <c:numCache>
                <c:formatCode>0%</c:formatCode>
                <c:ptCount val="10"/>
                <c:pt idx="0">
                  <c:v>0.23</c:v>
                </c:pt>
                <c:pt idx="1">
                  <c:v>0.30000000000000032</c:v>
                </c:pt>
                <c:pt idx="2">
                  <c:v>0.27</c:v>
                </c:pt>
                <c:pt idx="3">
                  <c:v>0.18000000000000022</c:v>
                </c:pt>
                <c:pt idx="4">
                  <c:v>0.14000000000000001</c:v>
                </c:pt>
                <c:pt idx="5">
                  <c:v>0.2</c:v>
                </c:pt>
                <c:pt idx="6">
                  <c:v>0.21000000000000021</c:v>
                </c:pt>
                <c:pt idx="7">
                  <c:v>0.26</c:v>
                </c:pt>
                <c:pt idx="8">
                  <c:v>0.21000000000000021</c:v>
                </c:pt>
                <c:pt idx="9">
                  <c:v>0.23</c:v>
                </c:pt>
              </c:numCache>
            </c:numRef>
          </c:val>
        </c:ser>
        <c:ser>
          <c:idx val="4"/>
          <c:order val="4"/>
          <c:tx>
            <c:strRef>
              <c:f>Sheet1!$A$312</c:f>
              <c:strCache>
                <c:ptCount val="1"/>
                <c:pt idx="0">
                  <c:v>Know a great deal about it </c:v>
                </c:pt>
              </c:strCache>
            </c:strRef>
          </c:tx>
          <c:invertIfNegative val="0"/>
          <c:cat>
            <c:strRef>
              <c:f>Sheet1!$B$307:$K$307</c:f>
              <c:strCache>
                <c:ptCount val="10"/>
                <c:pt idx="0">
                  <c:v>Total (917)</c:v>
                </c:pt>
                <c:pt idx="1">
                  <c:v>East (126)</c:v>
                </c:pt>
                <c:pt idx="2">
                  <c:v>East Midlands (113)</c:v>
                </c:pt>
                <c:pt idx="3">
                  <c:v>London (91)</c:v>
                </c:pt>
                <c:pt idx="4">
                  <c:v>North East (66)</c:v>
                </c:pt>
                <c:pt idx="5">
                  <c:v>North West (93)</c:v>
                </c:pt>
                <c:pt idx="6">
                  <c:v>South East (145)</c:v>
                </c:pt>
                <c:pt idx="7">
                  <c:v>South West (92)</c:v>
                </c:pt>
                <c:pt idx="8">
                  <c:v>West Midlands (101)</c:v>
                </c:pt>
                <c:pt idx="9">
                  <c:v>Yorks. and the Humber (90)</c:v>
                </c:pt>
              </c:strCache>
            </c:strRef>
          </c:cat>
          <c:val>
            <c:numRef>
              <c:f>Sheet1!$B$312:$K$312</c:f>
              <c:numCache>
                <c:formatCode>0%</c:formatCode>
                <c:ptCount val="10"/>
                <c:pt idx="0">
                  <c:v>8.0000000000000043E-2</c:v>
                </c:pt>
                <c:pt idx="1">
                  <c:v>3.0000000000000002E-2</c:v>
                </c:pt>
                <c:pt idx="2">
                  <c:v>9.0000000000000024E-2</c:v>
                </c:pt>
                <c:pt idx="3">
                  <c:v>8.0000000000000043E-2</c:v>
                </c:pt>
                <c:pt idx="4">
                  <c:v>0.11</c:v>
                </c:pt>
                <c:pt idx="5">
                  <c:v>8.0000000000000043E-2</c:v>
                </c:pt>
                <c:pt idx="6">
                  <c:v>0.1</c:v>
                </c:pt>
                <c:pt idx="7">
                  <c:v>0.13</c:v>
                </c:pt>
                <c:pt idx="8">
                  <c:v>9.0000000000000024E-2</c:v>
                </c:pt>
                <c:pt idx="9">
                  <c:v>8.0000000000000043E-2</c:v>
                </c:pt>
              </c:numCache>
            </c:numRef>
          </c:val>
        </c:ser>
        <c:dLbls>
          <c:showLegendKey val="0"/>
          <c:showVal val="1"/>
          <c:showCatName val="0"/>
          <c:showSerName val="0"/>
          <c:showPercent val="0"/>
          <c:showBubbleSize val="0"/>
        </c:dLbls>
        <c:gapWidth val="40"/>
        <c:overlap val="100"/>
        <c:axId val="65141760"/>
        <c:axId val="65172224"/>
      </c:barChart>
      <c:catAx>
        <c:axId val="65141760"/>
        <c:scaling>
          <c:orientation val="maxMin"/>
        </c:scaling>
        <c:delete val="0"/>
        <c:axPos val="l"/>
        <c:majorTickMark val="none"/>
        <c:minorTickMark val="none"/>
        <c:tickLblPos val="low"/>
        <c:crossAx val="65172224"/>
        <c:crosses val="autoZero"/>
        <c:auto val="1"/>
        <c:lblAlgn val="ctr"/>
        <c:lblOffset val="100"/>
        <c:noMultiLvlLbl val="0"/>
      </c:catAx>
      <c:valAx>
        <c:axId val="65172224"/>
        <c:scaling>
          <c:orientation val="minMax"/>
        </c:scaling>
        <c:delete val="1"/>
        <c:axPos val="b"/>
        <c:numFmt formatCode="0%" sourceLinked="1"/>
        <c:majorTickMark val="none"/>
        <c:minorTickMark val="none"/>
        <c:tickLblPos val="none"/>
        <c:crossAx val="65141760"/>
        <c:crosses val="max"/>
        <c:crossBetween val="between"/>
      </c:valAx>
    </c:plotArea>
    <c:legend>
      <c:legendPos val="b"/>
      <c:layout/>
      <c:overlay val="0"/>
    </c:legend>
    <c:plotVisOnly val="1"/>
    <c:dispBlanksAs val="gap"/>
    <c:showDLblsOverMax val="0"/>
  </c:chart>
  <c:spPr>
    <a:ln>
      <a:noFill/>
    </a:ln>
  </c:spPr>
  <c:txPr>
    <a:bodyPr/>
    <a:lstStyle/>
    <a:p>
      <a:pPr>
        <a:defRPr sz="1100">
          <a:effectLst>
            <a:glow rad="101600">
              <a:schemeClr val="bg1">
                <a:alpha val="60000"/>
              </a:schemeClr>
            </a:glow>
          </a:effectLst>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Sheet1!$A$342</c:f>
              <c:strCache>
                <c:ptCount val="1"/>
                <c:pt idx="0">
                  <c:v>Not at all engaged </c:v>
                </c:pt>
              </c:strCache>
            </c:strRef>
          </c:tx>
          <c:invertIfNegative val="0"/>
          <c:dPt>
            <c:idx val="1"/>
            <c:invertIfNegative val="0"/>
            <c:bubble3D val="0"/>
            <c:spPr>
              <a:solidFill>
                <a:srgbClr val="4F81BD">
                  <a:lumMod val="60000"/>
                  <a:lumOff val="40000"/>
                </a:srgbClr>
              </a:solidFill>
            </c:spPr>
          </c:dPt>
          <c:cat>
            <c:strRef>
              <c:f>Sheet1!$B$341:$I$341</c:f>
              <c:strCache>
                <c:ptCount val="8"/>
                <c:pt idx="0">
                  <c:v>2013 (917)</c:v>
                </c:pt>
                <c:pt idx="1">
                  <c:v>2012 (937)</c:v>
                </c:pt>
                <c:pt idx="2">
                  <c:v>Chief Executives (87)</c:v>
                </c:pt>
                <c:pt idx="3">
                  <c:v>Directors (238)</c:v>
                </c:pt>
                <c:pt idx="4">
                  <c:v>Leaders (81)</c:v>
                </c:pt>
                <c:pt idx="5">
                  <c:v>Chair of Scrutiny (101)</c:v>
                </c:pt>
                <c:pt idx="6">
                  <c:v>Portfolio holders (99)</c:v>
                </c:pt>
                <c:pt idx="7">
                  <c:v>Backbenchers (311)</c:v>
                </c:pt>
              </c:strCache>
            </c:strRef>
          </c:cat>
          <c:val>
            <c:numRef>
              <c:f>Sheet1!$B$342:$I$342</c:f>
              <c:numCache>
                <c:formatCode>0%</c:formatCode>
                <c:ptCount val="8"/>
                <c:pt idx="0">
                  <c:v>0.13</c:v>
                </c:pt>
                <c:pt idx="1">
                  <c:v>0.14000000000000001</c:v>
                </c:pt>
                <c:pt idx="2">
                  <c:v>0.05</c:v>
                </c:pt>
                <c:pt idx="3">
                  <c:v>9.0000000000000024E-2</c:v>
                </c:pt>
                <c:pt idx="4">
                  <c:v>4.0000000000000022E-2</c:v>
                </c:pt>
                <c:pt idx="5">
                  <c:v>0.18000000000000022</c:v>
                </c:pt>
                <c:pt idx="6">
                  <c:v>0.11</c:v>
                </c:pt>
                <c:pt idx="7">
                  <c:v>0.19</c:v>
                </c:pt>
              </c:numCache>
            </c:numRef>
          </c:val>
        </c:ser>
        <c:ser>
          <c:idx val="1"/>
          <c:order val="1"/>
          <c:tx>
            <c:strRef>
              <c:f>Sheet1!$A$343</c:f>
              <c:strCache>
                <c:ptCount val="1"/>
                <c:pt idx="0">
                  <c:v>Not very engaged</c:v>
                </c:pt>
              </c:strCache>
            </c:strRef>
          </c:tx>
          <c:invertIfNegative val="0"/>
          <c:dPt>
            <c:idx val="1"/>
            <c:invertIfNegative val="0"/>
            <c:bubble3D val="0"/>
            <c:spPr>
              <a:solidFill>
                <a:srgbClr val="C0504D">
                  <a:lumMod val="60000"/>
                  <a:lumOff val="40000"/>
                </a:srgbClr>
              </a:solidFill>
            </c:spPr>
          </c:dPt>
          <c:cat>
            <c:strRef>
              <c:f>Sheet1!$B$341:$I$341</c:f>
              <c:strCache>
                <c:ptCount val="8"/>
                <c:pt idx="0">
                  <c:v>2013 (917)</c:v>
                </c:pt>
                <c:pt idx="1">
                  <c:v>2012 (937)</c:v>
                </c:pt>
                <c:pt idx="2">
                  <c:v>Chief Executives (87)</c:v>
                </c:pt>
                <c:pt idx="3">
                  <c:v>Directors (238)</c:v>
                </c:pt>
                <c:pt idx="4">
                  <c:v>Leaders (81)</c:v>
                </c:pt>
                <c:pt idx="5">
                  <c:v>Chair of Scrutiny (101)</c:v>
                </c:pt>
                <c:pt idx="6">
                  <c:v>Portfolio holders (99)</c:v>
                </c:pt>
                <c:pt idx="7">
                  <c:v>Backbenchers (311)</c:v>
                </c:pt>
              </c:strCache>
            </c:strRef>
          </c:cat>
          <c:val>
            <c:numRef>
              <c:f>Sheet1!$B$343:$I$343</c:f>
              <c:numCache>
                <c:formatCode>0%</c:formatCode>
                <c:ptCount val="8"/>
                <c:pt idx="0">
                  <c:v>0.39000000000000051</c:v>
                </c:pt>
                <c:pt idx="1">
                  <c:v>0.41000000000000031</c:v>
                </c:pt>
                <c:pt idx="2">
                  <c:v>0.23</c:v>
                </c:pt>
                <c:pt idx="3">
                  <c:v>0.4</c:v>
                </c:pt>
                <c:pt idx="4">
                  <c:v>0.23</c:v>
                </c:pt>
                <c:pt idx="5">
                  <c:v>0.41000000000000031</c:v>
                </c:pt>
                <c:pt idx="6">
                  <c:v>0.3800000000000005</c:v>
                </c:pt>
                <c:pt idx="7">
                  <c:v>0.47000000000000008</c:v>
                </c:pt>
              </c:numCache>
            </c:numRef>
          </c:val>
        </c:ser>
        <c:ser>
          <c:idx val="2"/>
          <c:order val="2"/>
          <c:tx>
            <c:strRef>
              <c:f>Sheet1!$A$344</c:f>
              <c:strCache>
                <c:ptCount val="1"/>
                <c:pt idx="0">
                  <c:v>Fairly engaged</c:v>
                </c:pt>
              </c:strCache>
            </c:strRef>
          </c:tx>
          <c:invertIfNegative val="0"/>
          <c:dPt>
            <c:idx val="1"/>
            <c:invertIfNegative val="0"/>
            <c:bubble3D val="0"/>
            <c:spPr>
              <a:solidFill>
                <a:srgbClr val="9BBB59">
                  <a:lumMod val="60000"/>
                  <a:lumOff val="40000"/>
                </a:srgbClr>
              </a:solidFill>
            </c:spPr>
          </c:dPt>
          <c:cat>
            <c:strRef>
              <c:f>Sheet1!$B$341:$I$341</c:f>
              <c:strCache>
                <c:ptCount val="8"/>
                <c:pt idx="0">
                  <c:v>2013 (917)</c:v>
                </c:pt>
                <c:pt idx="1">
                  <c:v>2012 (937)</c:v>
                </c:pt>
                <c:pt idx="2">
                  <c:v>Chief Executives (87)</c:v>
                </c:pt>
                <c:pt idx="3">
                  <c:v>Directors (238)</c:v>
                </c:pt>
                <c:pt idx="4">
                  <c:v>Leaders (81)</c:v>
                </c:pt>
                <c:pt idx="5">
                  <c:v>Chair of Scrutiny (101)</c:v>
                </c:pt>
                <c:pt idx="6">
                  <c:v>Portfolio holders (99)</c:v>
                </c:pt>
                <c:pt idx="7">
                  <c:v>Backbenchers (311)</c:v>
                </c:pt>
              </c:strCache>
            </c:strRef>
          </c:cat>
          <c:val>
            <c:numRef>
              <c:f>Sheet1!$B$344:$I$344</c:f>
              <c:numCache>
                <c:formatCode>0%</c:formatCode>
                <c:ptCount val="8"/>
                <c:pt idx="0">
                  <c:v>0.4</c:v>
                </c:pt>
                <c:pt idx="1">
                  <c:v>0.3800000000000005</c:v>
                </c:pt>
                <c:pt idx="2">
                  <c:v>0.44</c:v>
                </c:pt>
                <c:pt idx="3">
                  <c:v>0.44</c:v>
                </c:pt>
                <c:pt idx="4">
                  <c:v>0.53</c:v>
                </c:pt>
                <c:pt idx="5">
                  <c:v>0.37000000000000038</c:v>
                </c:pt>
                <c:pt idx="6">
                  <c:v>0.45</c:v>
                </c:pt>
                <c:pt idx="7">
                  <c:v>0.31000000000000044</c:v>
                </c:pt>
              </c:numCache>
            </c:numRef>
          </c:val>
        </c:ser>
        <c:ser>
          <c:idx val="3"/>
          <c:order val="3"/>
          <c:tx>
            <c:strRef>
              <c:f>Sheet1!$A$345</c:f>
              <c:strCache>
                <c:ptCount val="1"/>
                <c:pt idx="0">
                  <c:v>Very engaged </c:v>
                </c:pt>
              </c:strCache>
            </c:strRef>
          </c:tx>
          <c:invertIfNegative val="0"/>
          <c:dPt>
            <c:idx val="1"/>
            <c:invertIfNegative val="0"/>
            <c:bubble3D val="0"/>
            <c:spPr>
              <a:solidFill>
                <a:srgbClr val="8064A2">
                  <a:lumMod val="60000"/>
                  <a:lumOff val="40000"/>
                </a:srgbClr>
              </a:solidFill>
            </c:spPr>
          </c:dPt>
          <c:cat>
            <c:strRef>
              <c:f>Sheet1!$B$341:$I$341</c:f>
              <c:strCache>
                <c:ptCount val="8"/>
                <c:pt idx="0">
                  <c:v>2013 (917)</c:v>
                </c:pt>
                <c:pt idx="1">
                  <c:v>2012 (937)</c:v>
                </c:pt>
                <c:pt idx="2">
                  <c:v>Chief Executives (87)</c:v>
                </c:pt>
                <c:pt idx="3">
                  <c:v>Directors (238)</c:v>
                </c:pt>
                <c:pt idx="4">
                  <c:v>Leaders (81)</c:v>
                </c:pt>
                <c:pt idx="5">
                  <c:v>Chair of Scrutiny (101)</c:v>
                </c:pt>
                <c:pt idx="6">
                  <c:v>Portfolio holders (99)</c:v>
                </c:pt>
                <c:pt idx="7">
                  <c:v>Backbenchers (311)</c:v>
                </c:pt>
              </c:strCache>
            </c:strRef>
          </c:cat>
          <c:val>
            <c:numRef>
              <c:f>Sheet1!$B$345:$I$345</c:f>
              <c:numCache>
                <c:formatCode>0%</c:formatCode>
                <c:ptCount val="8"/>
                <c:pt idx="0">
                  <c:v>8.0000000000000043E-2</c:v>
                </c:pt>
                <c:pt idx="1">
                  <c:v>6.0000000000000032E-2</c:v>
                </c:pt>
                <c:pt idx="2">
                  <c:v>0.29000000000000031</c:v>
                </c:pt>
                <c:pt idx="3">
                  <c:v>7.0000000000000021E-2</c:v>
                </c:pt>
                <c:pt idx="4">
                  <c:v>0.2</c:v>
                </c:pt>
                <c:pt idx="5">
                  <c:v>0.05</c:v>
                </c:pt>
                <c:pt idx="6">
                  <c:v>0.05</c:v>
                </c:pt>
                <c:pt idx="7">
                  <c:v>3.0000000000000002E-2</c:v>
                </c:pt>
              </c:numCache>
            </c:numRef>
          </c:val>
        </c:ser>
        <c:dLbls>
          <c:showLegendKey val="0"/>
          <c:showVal val="1"/>
          <c:showCatName val="0"/>
          <c:showSerName val="0"/>
          <c:showPercent val="0"/>
          <c:showBubbleSize val="0"/>
        </c:dLbls>
        <c:gapWidth val="40"/>
        <c:overlap val="100"/>
        <c:axId val="97093888"/>
        <c:axId val="97112064"/>
      </c:barChart>
      <c:catAx>
        <c:axId val="97093888"/>
        <c:scaling>
          <c:orientation val="maxMin"/>
        </c:scaling>
        <c:delete val="0"/>
        <c:axPos val="l"/>
        <c:majorTickMark val="none"/>
        <c:minorTickMark val="none"/>
        <c:tickLblPos val="low"/>
        <c:crossAx val="97112064"/>
        <c:crosses val="autoZero"/>
        <c:auto val="1"/>
        <c:lblAlgn val="ctr"/>
        <c:lblOffset val="100"/>
        <c:noMultiLvlLbl val="0"/>
      </c:catAx>
      <c:valAx>
        <c:axId val="97112064"/>
        <c:scaling>
          <c:orientation val="minMax"/>
        </c:scaling>
        <c:delete val="1"/>
        <c:axPos val="b"/>
        <c:numFmt formatCode="0%" sourceLinked="1"/>
        <c:majorTickMark val="none"/>
        <c:minorTickMark val="none"/>
        <c:tickLblPos val="none"/>
        <c:crossAx val="97093888"/>
        <c:crosses val="max"/>
        <c:crossBetween val="between"/>
      </c:valAx>
    </c:plotArea>
    <c:legend>
      <c:legendPos val="b"/>
      <c:layout/>
      <c:overlay val="0"/>
    </c:legend>
    <c:plotVisOnly val="1"/>
    <c:dispBlanksAs val="gap"/>
    <c:showDLblsOverMax val="0"/>
  </c:chart>
  <c:spPr>
    <a:ln>
      <a:noFill/>
    </a:ln>
  </c:spPr>
  <c:txPr>
    <a:bodyPr/>
    <a:lstStyle/>
    <a:p>
      <a:pPr>
        <a:defRPr sz="1100">
          <a:effectLst>
            <a:glow rad="101600">
              <a:schemeClr val="bg1">
                <a:alpha val="60000"/>
              </a:schemeClr>
            </a:glow>
          </a:effectLst>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8967443079276938"/>
          <c:y val="2.5204788909892879E-2"/>
          <c:w val="0.3867077484879608"/>
          <c:h val="0.947069943289225"/>
        </c:manualLayout>
      </c:layout>
      <c:barChart>
        <c:barDir val="bar"/>
        <c:grouping val="clustered"/>
        <c:varyColors val="0"/>
        <c:ser>
          <c:idx val="0"/>
          <c:order val="0"/>
          <c:invertIfNegative val="0"/>
          <c:dLbls>
            <c:dLbl>
              <c:idx val="14"/>
              <c:layout/>
              <c:tx>
                <c:rich>
                  <a:bodyPr/>
                  <a:lstStyle/>
                  <a:p>
                    <a:r>
                      <a:rPr lang="en-US"/>
                      <a:t>*%</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Sheet1!$A$357:$A$373</c:f>
              <c:strCache>
                <c:ptCount val="17"/>
                <c:pt idx="0">
                  <c:v>Responding to LGA consultations</c:v>
                </c:pt>
                <c:pt idx="1">
                  <c:v>Attending LGA events</c:v>
                </c:pt>
                <c:pt idx="2">
                  <c:v>Contributing in LGA meetings/seminars</c:v>
                </c:pt>
                <c:pt idx="3">
                  <c:v>Contacting LGA officers by email or phone</c:v>
                </c:pt>
                <c:pt idx="4">
                  <c:v>Visits from LGA councillors and staff to your council</c:v>
                </c:pt>
                <c:pt idx="5">
                  <c:v>Contacting councillors/boards by email or phone</c:v>
                </c:pt>
                <c:pt idx="6">
                  <c:v>Face-to-face contact, for example, with your principal advisor</c:v>
                </c:pt>
                <c:pt idx="7">
                  <c:v>When contacted, by LGA officers or in your role as an advisor</c:v>
                </c:pt>
                <c:pt idx="8">
                  <c:v>Acting as an LGA peer or supporting LGA development programmes</c:v>
                </c:pt>
                <c:pt idx="9">
                  <c:v>Contributing via Knowledge Hub</c:v>
                </c:pt>
                <c:pt idx="10">
                  <c:v>Through magazines (inc. First Magazine)</c:v>
                </c:pt>
                <c:pt idx="11">
                  <c:v>Via the internet/website/LGA website</c:v>
                </c:pt>
                <c:pt idx="12">
                  <c:v>Via political channels</c:v>
                </c:pt>
                <c:pt idx="13">
                  <c:v>Peer Review</c:v>
                </c:pt>
                <c:pt idx="14">
                  <c:v>Through forums/meetings</c:v>
                </c:pt>
                <c:pt idx="15">
                  <c:v>Other </c:v>
                </c:pt>
                <c:pt idx="16">
                  <c:v>No contact at all</c:v>
                </c:pt>
              </c:strCache>
            </c:strRef>
          </c:cat>
          <c:val>
            <c:numRef>
              <c:f>Sheet1!$B$357:$B$373</c:f>
              <c:numCache>
                <c:formatCode>0%</c:formatCode>
                <c:ptCount val="17"/>
                <c:pt idx="0">
                  <c:v>0.5</c:v>
                </c:pt>
                <c:pt idx="1">
                  <c:v>0.48000000000000032</c:v>
                </c:pt>
                <c:pt idx="2">
                  <c:v>0.39000000000000051</c:v>
                </c:pt>
                <c:pt idx="3">
                  <c:v>0.37000000000000038</c:v>
                </c:pt>
                <c:pt idx="4">
                  <c:v>0.33000000000000057</c:v>
                </c:pt>
                <c:pt idx="5">
                  <c:v>0.25</c:v>
                </c:pt>
                <c:pt idx="6">
                  <c:v>0.25</c:v>
                </c:pt>
                <c:pt idx="7">
                  <c:v>0.24000000000000021</c:v>
                </c:pt>
                <c:pt idx="8">
                  <c:v>0.14000000000000001</c:v>
                </c:pt>
                <c:pt idx="9">
                  <c:v>0.11</c:v>
                </c:pt>
                <c:pt idx="10">
                  <c:v>0.05</c:v>
                </c:pt>
                <c:pt idx="11">
                  <c:v>1.0000000000000005E-2</c:v>
                </c:pt>
                <c:pt idx="12">
                  <c:v>1.0000000000000005E-2</c:v>
                </c:pt>
                <c:pt idx="13">
                  <c:v>1.0000000000000005E-2</c:v>
                </c:pt>
                <c:pt idx="14">
                  <c:v>4.000000000000007E-3</c:v>
                </c:pt>
                <c:pt idx="15">
                  <c:v>7.0000000000000021E-2</c:v>
                </c:pt>
                <c:pt idx="16">
                  <c:v>0.14000000000000001</c:v>
                </c:pt>
              </c:numCache>
            </c:numRef>
          </c:val>
        </c:ser>
        <c:dLbls>
          <c:showLegendKey val="0"/>
          <c:showVal val="1"/>
          <c:showCatName val="0"/>
          <c:showSerName val="0"/>
          <c:showPercent val="0"/>
          <c:showBubbleSize val="0"/>
        </c:dLbls>
        <c:gapWidth val="40"/>
        <c:axId val="97122944"/>
        <c:axId val="118621696"/>
      </c:barChart>
      <c:catAx>
        <c:axId val="97122944"/>
        <c:scaling>
          <c:orientation val="maxMin"/>
        </c:scaling>
        <c:delete val="0"/>
        <c:axPos val="l"/>
        <c:majorTickMark val="none"/>
        <c:minorTickMark val="none"/>
        <c:tickLblPos val="low"/>
        <c:txPr>
          <a:bodyPr/>
          <a:lstStyle/>
          <a:p>
            <a:pPr>
              <a:defRPr sz="900"/>
            </a:pPr>
            <a:endParaRPr lang="en-US"/>
          </a:p>
        </c:txPr>
        <c:crossAx val="118621696"/>
        <c:crosses val="autoZero"/>
        <c:auto val="1"/>
        <c:lblAlgn val="ctr"/>
        <c:lblOffset val="100"/>
        <c:noMultiLvlLbl val="0"/>
      </c:catAx>
      <c:valAx>
        <c:axId val="118621696"/>
        <c:scaling>
          <c:orientation val="minMax"/>
        </c:scaling>
        <c:delete val="1"/>
        <c:axPos val="b"/>
        <c:numFmt formatCode="0%" sourceLinked="1"/>
        <c:majorTickMark val="none"/>
        <c:minorTickMark val="none"/>
        <c:tickLblPos val="none"/>
        <c:crossAx val="97122944"/>
        <c:crosses val="max"/>
        <c:crossBetween val="between"/>
      </c:valAx>
    </c:plotArea>
    <c:plotVisOnly val="1"/>
    <c:dispBlanksAs val="gap"/>
    <c:showDLblsOverMax val="0"/>
  </c:chart>
  <c:spPr>
    <a:ln>
      <a:noFill/>
    </a:ln>
  </c:spPr>
  <c:txPr>
    <a:bodyPr/>
    <a:lstStyle/>
    <a:p>
      <a:pPr>
        <a:defRPr>
          <a:effectLst>
            <a:glow rad="101600">
              <a:schemeClr val="bg1">
                <a:alpha val="60000"/>
              </a:schemeClr>
            </a:glow>
          </a:effectLst>
        </a:defRPr>
      </a:pPr>
      <a:endParaRPr lang="en-US"/>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Sheet1!$A$416</c:f>
              <c:strCache>
                <c:ptCount val="1"/>
                <c:pt idx="0">
                  <c:v>Heard nothing </c:v>
                </c:pt>
              </c:strCache>
            </c:strRef>
          </c:tx>
          <c:invertIfNegative val="0"/>
          <c:dPt>
            <c:idx val="1"/>
            <c:invertIfNegative val="0"/>
            <c:bubble3D val="0"/>
            <c:spPr>
              <a:solidFill>
                <a:srgbClr val="4F81BD">
                  <a:lumMod val="60000"/>
                  <a:lumOff val="40000"/>
                </a:srgbClr>
              </a:solidFill>
            </c:spPr>
          </c:dPt>
          <c:cat>
            <c:strRef>
              <c:f>Sheet1!$B$415:$I$415</c:f>
              <c:strCache>
                <c:ptCount val="8"/>
                <c:pt idx="0">
                  <c:v>2013 (917)</c:v>
                </c:pt>
                <c:pt idx="1">
                  <c:v>2012 (937)</c:v>
                </c:pt>
                <c:pt idx="2">
                  <c:v>Chief Executives (87)</c:v>
                </c:pt>
                <c:pt idx="3">
                  <c:v>Directors (238)</c:v>
                </c:pt>
                <c:pt idx="4">
                  <c:v>Leaders (81)</c:v>
                </c:pt>
                <c:pt idx="5">
                  <c:v>Chair of Scrutiny (101)</c:v>
                </c:pt>
                <c:pt idx="6">
                  <c:v>Portfolio holders (99)</c:v>
                </c:pt>
                <c:pt idx="7">
                  <c:v>Backbenchers (311)</c:v>
                </c:pt>
              </c:strCache>
            </c:strRef>
          </c:cat>
          <c:val>
            <c:numRef>
              <c:f>Sheet1!$B$416:$I$416</c:f>
              <c:numCache>
                <c:formatCode>0%</c:formatCode>
                <c:ptCount val="8"/>
                <c:pt idx="0">
                  <c:v>0.19</c:v>
                </c:pt>
                <c:pt idx="1">
                  <c:v>0.21000000000000021</c:v>
                </c:pt>
                <c:pt idx="2">
                  <c:v>2.0000000000000011E-2</c:v>
                </c:pt>
                <c:pt idx="3">
                  <c:v>0.11</c:v>
                </c:pt>
                <c:pt idx="4">
                  <c:v>0.11</c:v>
                </c:pt>
                <c:pt idx="5">
                  <c:v>0.35000000000000031</c:v>
                </c:pt>
                <c:pt idx="6">
                  <c:v>0.17</c:v>
                </c:pt>
                <c:pt idx="7">
                  <c:v>0.28000000000000008</c:v>
                </c:pt>
              </c:numCache>
            </c:numRef>
          </c:val>
        </c:ser>
        <c:ser>
          <c:idx val="1"/>
          <c:order val="1"/>
          <c:tx>
            <c:strRef>
              <c:f>Sheet1!$A$417</c:f>
              <c:strCache>
                <c:ptCount val="1"/>
                <c:pt idx="0">
                  <c:v>Heard a little</c:v>
                </c:pt>
              </c:strCache>
            </c:strRef>
          </c:tx>
          <c:invertIfNegative val="0"/>
          <c:dPt>
            <c:idx val="1"/>
            <c:invertIfNegative val="0"/>
            <c:bubble3D val="0"/>
            <c:spPr>
              <a:solidFill>
                <a:srgbClr val="C0504D">
                  <a:lumMod val="60000"/>
                  <a:lumOff val="40000"/>
                </a:srgbClr>
              </a:solidFill>
            </c:spPr>
          </c:dPt>
          <c:cat>
            <c:strRef>
              <c:f>Sheet1!$B$415:$I$415</c:f>
              <c:strCache>
                <c:ptCount val="8"/>
                <c:pt idx="0">
                  <c:v>2013 (917)</c:v>
                </c:pt>
                <c:pt idx="1">
                  <c:v>2012 (937)</c:v>
                </c:pt>
                <c:pt idx="2">
                  <c:v>Chief Executives (87)</c:v>
                </c:pt>
                <c:pt idx="3">
                  <c:v>Directors (238)</c:v>
                </c:pt>
                <c:pt idx="4">
                  <c:v>Leaders (81)</c:v>
                </c:pt>
                <c:pt idx="5">
                  <c:v>Chair of Scrutiny (101)</c:v>
                </c:pt>
                <c:pt idx="6">
                  <c:v>Portfolio holders (99)</c:v>
                </c:pt>
                <c:pt idx="7">
                  <c:v>Backbenchers (311)</c:v>
                </c:pt>
              </c:strCache>
            </c:strRef>
          </c:cat>
          <c:val>
            <c:numRef>
              <c:f>Sheet1!$B$417:$I$417</c:f>
              <c:numCache>
                <c:formatCode>0%</c:formatCode>
                <c:ptCount val="8"/>
                <c:pt idx="0">
                  <c:v>0.37000000000000038</c:v>
                </c:pt>
                <c:pt idx="1">
                  <c:v>0.3800000000000005</c:v>
                </c:pt>
                <c:pt idx="2">
                  <c:v>0.1</c:v>
                </c:pt>
                <c:pt idx="3">
                  <c:v>0.4</c:v>
                </c:pt>
                <c:pt idx="4">
                  <c:v>0.27</c:v>
                </c:pt>
                <c:pt idx="5">
                  <c:v>0.32000000000000051</c:v>
                </c:pt>
                <c:pt idx="6">
                  <c:v>0.3800000000000005</c:v>
                </c:pt>
                <c:pt idx="7">
                  <c:v>0.46</c:v>
                </c:pt>
              </c:numCache>
            </c:numRef>
          </c:val>
        </c:ser>
        <c:ser>
          <c:idx val="2"/>
          <c:order val="2"/>
          <c:tx>
            <c:strRef>
              <c:f>Sheet1!$A$418</c:f>
              <c:strCache>
                <c:ptCount val="1"/>
                <c:pt idx="0">
                  <c:v>Heard a moderate amount </c:v>
                </c:pt>
              </c:strCache>
            </c:strRef>
          </c:tx>
          <c:invertIfNegative val="0"/>
          <c:dPt>
            <c:idx val="1"/>
            <c:invertIfNegative val="0"/>
            <c:bubble3D val="0"/>
            <c:spPr>
              <a:solidFill>
                <a:srgbClr val="9BBB59">
                  <a:lumMod val="60000"/>
                  <a:lumOff val="40000"/>
                </a:srgbClr>
              </a:solidFill>
            </c:spPr>
          </c:dPt>
          <c:cat>
            <c:strRef>
              <c:f>Sheet1!$B$415:$I$415</c:f>
              <c:strCache>
                <c:ptCount val="8"/>
                <c:pt idx="0">
                  <c:v>2013 (917)</c:v>
                </c:pt>
                <c:pt idx="1">
                  <c:v>2012 (937)</c:v>
                </c:pt>
                <c:pt idx="2">
                  <c:v>Chief Executives (87)</c:v>
                </c:pt>
                <c:pt idx="3">
                  <c:v>Directors (238)</c:v>
                </c:pt>
                <c:pt idx="4">
                  <c:v>Leaders (81)</c:v>
                </c:pt>
                <c:pt idx="5">
                  <c:v>Chair of Scrutiny (101)</c:v>
                </c:pt>
                <c:pt idx="6">
                  <c:v>Portfolio holders (99)</c:v>
                </c:pt>
                <c:pt idx="7">
                  <c:v>Backbenchers (311)</c:v>
                </c:pt>
              </c:strCache>
            </c:strRef>
          </c:cat>
          <c:val>
            <c:numRef>
              <c:f>Sheet1!$B$418:$I$418</c:f>
              <c:numCache>
                <c:formatCode>0%</c:formatCode>
                <c:ptCount val="8"/>
                <c:pt idx="0">
                  <c:v>0.27</c:v>
                </c:pt>
                <c:pt idx="1">
                  <c:v>0.26</c:v>
                </c:pt>
                <c:pt idx="2">
                  <c:v>0.26</c:v>
                </c:pt>
                <c:pt idx="3">
                  <c:v>0.28000000000000008</c:v>
                </c:pt>
                <c:pt idx="4">
                  <c:v>0.4</c:v>
                </c:pt>
                <c:pt idx="5">
                  <c:v>0.29000000000000031</c:v>
                </c:pt>
                <c:pt idx="6">
                  <c:v>0.35000000000000031</c:v>
                </c:pt>
                <c:pt idx="7">
                  <c:v>0.2</c:v>
                </c:pt>
              </c:numCache>
            </c:numRef>
          </c:val>
        </c:ser>
        <c:ser>
          <c:idx val="3"/>
          <c:order val="3"/>
          <c:tx>
            <c:strRef>
              <c:f>Sheet1!$A$419</c:f>
              <c:strCache>
                <c:ptCount val="1"/>
                <c:pt idx="0">
                  <c:v>Heard a lot</c:v>
                </c:pt>
              </c:strCache>
            </c:strRef>
          </c:tx>
          <c:invertIfNegative val="0"/>
          <c:dPt>
            <c:idx val="1"/>
            <c:invertIfNegative val="0"/>
            <c:bubble3D val="0"/>
            <c:spPr>
              <a:solidFill>
                <a:srgbClr val="8064A2">
                  <a:lumMod val="60000"/>
                  <a:lumOff val="40000"/>
                </a:srgbClr>
              </a:solidFill>
            </c:spPr>
          </c:dPt>
          <c:cat>
            <c:strRef>
              <c:f>Sheet1!$B$415:$I$415</c:f>
              <c:strCache>
                <c:ptCount val="8"/>
                <c:pt idx="0">
                  <c:v>2013 (917)</c:v>
                </c:pt>
                <c:pt idx="1">
                  <c:v>2012 (937)</c:v>
                </c:pt>
                <c:pt idx="2">
                  <c:v>Chief Executives (87)</c:v>
                </c:pt>
                <c:pt idx="3">
                  <c:v>Directors (238)</c:v>
                </c:pt>
                <c:pt idx="4">
                  <c:v>Leaders (81)</c:v>
                </c:pt>
                <c:pt idx="5">
                  <c:v>Chair of Scrutiny (101)</c:v>
                </c:pt>
                <c:pt idx="6">
                  <c:v>Portfolio holders (99)</c:v>
                </c:pt>
                <c:pt idx="7">
                  <c:v>Backbenchers (311)</c:v>
                </c:pt>
              </c:strCache>
            </c:strRef>
          </c:cat>
          <c:val>
            <c:numRef>
              <c:f>Sheet1!$B$419:$I$419</c:f>
              <c:numCache>
                <c:formatCode>0%</c:formatCode>
                <c:ptCount val="8"/>
                <c:pt idx="0">
                  <c:v>0.17</c:v>
                </c:pt>
                <c:pt idx="1">
                  <c:v>0.15000000000000022</c:v>
                </c:pt>
                <c:pt idx="2">
                  <c:v>0.61000000000000065</c:v>
                </c:pt>
                <c:pt idx="3">
                  <c:v>0.21000000000000021</c:v>
                </c:pt>
                <c:pt idx="4">
                  <c:v>0.21000000000000021</c:v>
                </c:pt>
                <c:pt idx="5">
                  <c:v>0.05</c:v>
                </c:pt>
                <c:pt idx="6">
                  <c:v>9.0000000000000024E-2</c:v>
                </c:pt>
                <c:pt idx="7">
                  <c:v>6.0000000000000032E-2</c:v>
                </c:pt>
              </c:numCache>
            </c:numRef>
          </c:val>
        </c:ser>
        <c:dLbls>
          <c:showLegendKey val="0"/>
          <c:showVal val="1"/>
          <c:showCatName val="0"/>
          <c:showSerName val="0"/>
          <c:showPercent val="0"/>
          <c:showBubbleSize val="0"/>
        </c:dLbls>
        <c:gapWidth val="40"/>
        <c:overlap val="100"/>
        <c:axId val="118683904"/>
        <c:axId val="129273856"/>
      </c:barChart>
      <c:catAx>
        <c:axId val="118683904"/>
        <c:scaling>
          <c:orientation val="maxMin"/>
        </c:scaling>
        <c:delete val="0"/>
        <c:axPos val="l"/>
        <c:majorTickMark val="none"/>
        <c:minorTickMark val="none"/>
        <c:tickLblPos val="low"/>
        <c:crossAx val="129273856"/>
        <c:crosses val="autoZero"/>
        <c:auto val="1"/>
        <c:lblAlgn val="ctr"/>
        <c:lblOffset val="100"/>
        <c:noMultiLvlLbl val="0"/>
      </c:catAx>
      <c:valAx>
        <c:axId val="129273856"/>
        <c:scaling>
          <c:orientation val="minMax"/>
        </c:scaling>
        <c:delete val="1"/>
        <c:axPos val="b"/>
        <c:numFmt formatCode="0%" sourceLinked="1"/>
        <c:majorTickMark val="none"/>
        <c:minorTickMark val="none"/>
        <c:tickLblPos val="none"/>
        <c:crossAx val="118683904"/>
        <c:crosses val="max"/>
        <c:crossBetween val="between"/>
      </c:valAx>
    </c:plotArea>
    <c:legend>
      <c:legendPos val="b"/>
      <c:layout/>
      <c:overlay val="0"/>
    </c:legend>
    <c:plotVisOnly val="1"/>
    <c:dispBlanksAs val="gap"/>
    <c:showDLblsOverMax val="0"/>
  </c:chart>
  <c:spPr>
    <a:ln>
      <a:noFill/>
    </a:ln>
  </c:spPr>
  <c:txPr>
    <a:bodyPr/>
    <a:lstStyle/>
    <a:p>
      <a:pPr>
        <a:defRPr sz="1100">
          <a:effectLst>
            <a:glow rad="101600">
              <a:schemeClr val="bg1">
                <a:alpha val="60000"/>
              </a:schemeClr>
            </a:glow>
          </a:effectLst>
        </a:defRPr>
      </a:pPr>
      <a:endParaRPr lang="en-US"/>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Sheet1!$A$449</c:f>
              <c:strCache>
                <c:ptCount val="1"/>
                <c:pt idx="0">
                  <c:v>Not at all </c:v>
                </c:pt>
              </c:strCache>
            </c:strRef>
          </c:tx>
          <c:invertIfNegative val="0"/>
          <c:dPt>
            <c:idx val="1"/>
            <c:invertIfNegative val="0"/>
            <c:bubble3D val="0"/>
            <c:spPr>
              <a:solidFill>
                <a:srgbClr val="4F81BD">
                  <a:lumMod val="60000"/>
                  <a:lumOff val="40000"/>
                </a:srgbClr>
              </a:solidFill>
            </c:spPr>
          </c:dPt>
          <c:cat>
            <c:strRef>
              <c:f>Sheet1!$B$448:$L$448</c:f>
              <c:strCache>
                <c:ptCount val="11"/>
                <c:pt idx="0">
                  <c:v>2013 (917)</c:v>
                </c:pt>
                <c:pt idx="1">
                  <c:v>2012 (937)</c:v>
                </c:pt>
                <c:pt idx="2">
                  <c:v>East (126)</c:v>
                </c:pt>
                <c:pt idx="3">
                  <c:v>East Midlands (113)</c:v>
                </c:pt>
                <c:pt idx="4">
                  <c:v>London (91)</c:v>
                </c:pt>
                <c:pt idx="5">
                  <c:v>North East (66)</c:v>
                </c:pt>
                <c:pt idx="6">
                  <c:v>North West (93)</c:v>
                </c:pt>
                <c:pt idx="7">
                  <c:v>South East (145)</c:v>
                </c:pt>
                <c:pt idx="8">
                  <c:v>South West (92)</c:v>
                </c:pt>
                <c:pt idx="9">
                  <c:v>West Midlands (101)</c:v>
                </c:pt>
                <c:pt idx="10">
                  <c:v>Yorks. and the Humber (90)</c:v>
                </c:pt>
              </c:strCache>
            </c:strRef>
          </c:cat>
          <c:val>
            <c:numRef>
              <c:f>Sheet1!$B$449:$L$449</c:f>
              <c:numCache>
                <c:formatCode>0%</c:formatCode>
                <c:ptCount val="11"/>
                <c:pt idx="0">
                  <c:v>3.0000000000000002E-2</c:v>
                </c:pt>
                <c:pt idx="1">
                  <c:v>4.0000000000000022E-2</c:v>
                </c:pt>
                <c:pt idx="2">
                  <c:v>1.0000000000000005E-2</c:v>
                </c:pt>
                <c:pt idx="3">
                  <c:v>4.0000000000000022E-2</c:v>
                </c:pt>
                <c:pt idx="4">
                  <c:v>4.0000000000000022E-2</c:v>
                </c:pt>
                <c:pt idx="5">
                  <c:v>3.0000000000000002E-2</c:v>
                </c:pt>
                <c:pt idx="6">
                  <c:v>3.0000000000000002E-2</c:v>
                </c:pt>
                <c:pt idx="7">
                  <c:v>3.0000000000000002E-2</c:v>
                </c:pt>
                <c:pt idx="8">
                  <c:v>7.0000000000000021E-2</c:v>
                </c:pt>
                <c:pt idx="9">
                  <c:v>2.0000000000000011E-2</c:v>
                </c:pt>
                <c:pt idx="10">
                  <c:v>1.0000000000000005E-2</c:v>
                </c:pt>
              </c:numCache>
            </c:numRef>
          </c:val>
        </c:ser>
        <c:ser>
          <c:idx val="1"/>
          <c:order val="1"/>
          <c:tx>
            <c:strRef>
              <c:f>Sheet1!$A$450</c:f>
              <c:strCache>
                <c:ptCount val="1"/>
                <c:pt idx="0">
                  <c:v>To a small extent </c:v>
                </c:pt>
              </c:strCache>
            </c:strRef>
          </c:tx>
          <c:invertIfNegative val="0"/>
          <c:dPt>
            <c:idx val="1"/>
            <c:invertIfNegative val="0"/>
            <c:bubble3D val="0"/>
            <c:spPr>
              <a:solidFill>
                <a:srgbClr val="C0504D">
                  <a:lumMod val="60000"/>
                  <a:lumOff val="40000"/>
                </a:srgbClr>
              </a:solidFill>
            </c:spPr>
          </c:dPt>
          <c:cat>
            <c:strRef>
              <c:f>Sheet1!$B$448:$L$448</c:f>
              <c:strCache>
                <c:ptCount val="11"/>
                <c:pt idx="0">
                  <c:v>2013 (917)</c:v>
                </c:pt>
                <c:pt idx="1">
                  <c:v>2012 (937)</c:v>
                </c:pt>
                <c:pt idx="2">
                  <c:v>East (126)</c:v>
                </c:pt>
                <c:pt idx="3">
                  <c:v>East Midlands (113)</c:v>
                </c:pt>
                <c:pt idx="4">
                  <c:v>London (91)</c:v>
                </c:pt>
                <c:pt idx="5">
                  <c:v>North East (66)</c:v>
                </c:pt>
                <c:pt idx="6">
                  <c:v>North West (93)</c:v>
                </c:pt>
                <c:pt idx="7">
                  <c:v>South East (145)</c:v>
                </c:pt>
                <c:pt idx="8">
                  <c:v>South West (92)</c:v>
                </c:pt>
                <c:pt idx="9">
                  <c:v>West Midlands (101)</c:v>
                </c:pt>
                <c:pt idx="10">
                  <c:v>Yorks. and the Humber (90)</c:v>
                </c:pt>
              </c:strCache>
            </c:strRef>
          </c:cat>
          <c:val>
            <c:numRef>
              <c:f>Sheet1!$B$450:$L$450</c:f>
              <c:numCache>
                <c:formatCode>0%</c:formatCode>
                <c:ptCount val="11"/>
                <c:pt idx="0">
                  <c:v>9.0000000000000024E-2</c:v>
                </c:pt>
                <c:pt idx="1">
                  <c:v>0.1</c:v>
                </c:pt>
                <c:pt idx="2">
                  <c:v>9.0000000000000024E-2</c:v>
                </c:pt>
                <c:pt idx="3">
                  <c:v>6.0000000000000032E-2</c:v>
                </c:pt>
                <c:pt idx="4">
                  <c:v>7.0000000000000021E-2</c:v>
                </c:pt>
                <c:pt idx="5">
                  <c:v>8.0000000000000043E-2</c:v>
                </c:pt>
                <c:pt idx="6">
                  <c:v>6.0000000000000032E-2</c:v>
                </c:pt>
                <c:pt idx="7">
                  <c:v>8.0000000000000043E-2</c:v>
                </c:pt>
                <c:pt idx="8">
                  <c:v>0.11</c:v>
                </c:pt>
                <c:pt idx="9">
                  <c:v>0.18000000000000022</c:v>
                </c:pt>
                <c:pt idx="10">
                  <c:v>8.0000000000000043E-2</c:v>
                </c:pt>
              </c:numCache>
            </c:numRef>
          </c:val>
        </c:ser>
        <c:ser>
          <c:idx val="2"/>
          <c:order val="2"/>
          <c:tx>
            <c:strRef>
              <c:f>Sheet1!$A$451</c:f>
              <c:strCache>
                <c:ptCount val="1"/>
                <c:pt idx="0">
                  <c:v>To a moderate extent</c:v>
                </c:pt>
              </c:strCache>
            </c:strRef>
          </c:tx>
          <c:invertIfNegative val="0"/>
          <c:dPt>
            <c:idx val="1"/>
            <c:invertIfNegative val="0"/>
            <c:bubble3D val="0"/>
            <c:spPr>
              <a:solidFill>
                <a:srgbClr val="9BBB59">
                  <a:lumMod val="60000"/>
                  <a:lumOff val="40000"/>
                </a:srgbClr>
              </a:solidFill>
            </c:spPr>
          </c:dPt>
          <c:cat>
            <c:strRef>
              <c:f>Sheet1!$B$448:$L$448</c:f>
              <c:strCache>
                <c:ptCount val="11"/>
                <c:pt idx="0">
                  <c:v>2013 (917)</c:v>
                </c:pt>
                <c:pt idx="1">
                  <c:v>2012 (937)</c:v>
                </c:pt>
                <c:pt idx="2">
                  <c:v>East (126)</c:v>
                </c:pt>
                <c:pt idx="3">
                  <c:v>East Midlands (113)</c:v>
                </c:pt>
                <c:pt idx="4">
                  <c:v>London (91)</c:v>
                </c:pt>
                <c:pt idx="5">
                  <c:v>North East (66)</c:v>
                </c:pt>
                <c:pt idx="6">
                  <c:v>North West (93)</c:v>
                </c:pt>
                <c:pt idx="7">
                  <c:v>South East (145)</c:v>
                </c:pt>
                <c:pt idx="8">
                  <c:v>South West (92)</c:v>
                </c:pt>
                <c:pt idx="9">
                  <c:v>West Midlands (101)</c:v>
                </c:pt>
                <c:pt idx="10">
                  <c:v>Yorks. and the Humber (90)</c:v>
                </c:pt>
              </c:strCache>
            </c:strRef>
          </c:cat>
          <c:val>
            <c:numRef>
              <c:f>Sheet1!$B$451:$L$451</c:f>
              <c:numCache>
                <c:formatCode>0%</c:formatCode>
                <c:ptCount val="11"/>
                <c:pt idx="0">
                  <c:v>0.39000000000000051</c:v>
                </c:pt>
                <c:pt idx="1">
                  <c:v>0.4</c:v>
                </c:pt>
                <c:pt idx="2">
                  <c:v>0.41000000000000031</c:v>
                </c:pt>
                <c:pt idx="3">
                  <c:v>0.29000000000000031</c:v>
                </c:pt>
                <c:pt idx="4">
                  <c:v>0.44</c:v>
                </c:pt>
                <c:pt idx="5">
                  <c:v>0.3800000000000005</c:v>
                </c:pt>
                <c:pt idx="6">
                  <c:v>0.42000000000000032</c:v>
                </c:pt>
                <c:pt idx="7">
                  <c:v>0.43000000000000038</c:v>
                </c:pt>
                <c:pt idx="8">
                  <c:v>0.36000000000000032</c:v>
                </c:pt>
                <c:pt idx="9">
                  <c:v>0.34</c:v>
                </c:pt>
                <c:pt idx="10">
                  <c:v>0.41000000000000031</c:v>
                </c:pt>
              </c:numCache>
            </c:numRef>
          </c:val>
        </c:ser>
        <c:ser>
          <c:idx val="3"/>
          <c:order val="3"/>
          <c:tx>
            <c:strRef>
              <c:f>Sheet1!$A$452</c:f>
              <c:strCache>
                <c:ptCount val="1"/>
                <c:pt idx="0">
                  <c:v>To a great extent</c:v>
                </c:pt>
              </c:strCache>
            </c:strRef>
          </c:tx>
          <c:invertIfNegative val="0"/>
          <c:dPt>
            <c:idx val="1"/>
            <c:invertIfNegative val="0"/>
            <c:bubble3D val="0"/>
            <c:spPr>
              <a:solidFill>
                <a:srgbClr val="8064A2">
                  <a:lumMod val="60000"/>
                  <a:lumOff val="40000"/>
                </a:srgbClr>
              </a:solidFill>
            </c:spPr>
          </c:dPt>
          <c:cat>
            <c:strRef>
              <c:f>Sheet1!$B$448:$L$448</c:f>
              <c:strCache>
                <c:ptCount val="11"/>
                <c:pt idx="0">
                  <c:v>2013 (917)</c:v>
                </c:pt>
                <c:pt idx="1">
                  <c:v>2012 (937)</c:v>
                </c:pt>
                <c:pt idx="2">
                  <c:v>East (126)</c:v>
                </c:pt>
                <c:pt idx="3">
                  <c:v>East Midlands (113)</c:v>
                </c:pt>
                <c:pt idx="4">
                  <c:v>London (91)</c:v>
                </c:pt>
                <c:pt idx="5">
                  <c:v>North East (66)</c:v>
                </c:pt>
                <c:pt idx="6">
                  <c:v>North West (93)</c:v>
                </c:pt>
                <c:pt idx="7">
                  <c:v>South East (145)</c:v>
                </c:pt>
                <c:pt idx="8">
                  <c:v>South West (92)</c:v>
                </c:pt>
                <c:pt idx="9">
                  <c:v>West Midlands (101)</c:v>
                </c:pt>
                <c:pt idx="10">
                  <c:v>Yorks. and the Humber (90)</c:v>
                </c:pt>
              </c:strCache>
            </c:strRef>
          </c:cat>
          <c:val>
            <c:numRef>
              <c:f>Sheet1!$B$452:$L$452</c:f>
              <c:numCache>
                <c:formatCode>0%</c:formatCode>
                <c:ptCount val="11"/>
                <c:pt idx="0">
                  <c:v>0.48000000000000032</c:v>
                </c:pt>
                <c:pt idx="1">
                  <c:v>0.45</c:v>
                </c:pt>
                <c:pt idx="2">
                  <c:v>0.49000000000000032</c:v>
                </c:pt>
                <c:pt idx="3">
                  <c:v>0.58000000000000007</c:v>
                </c:pt>
                <c:pt idx="4">
                  <c:v>0.45</c:v>
                </c:pt>
                <c:pt idx="5">
                  <c:v>0.52</c:v>
                </c:pt>
                <c:pt idx="6">
                  <c:v>0.47000000000000008</c:v>
                </c:pt>
                <c:pt idx="7">
                  <c:v>0.45</c:v>
                </c:pt>
                <c:pt idx="8">
                  <c:v>0.47000000000000008</c:v>
                </c:pt>
                <c:pt idx="9">
                  <c:v>0.46</c:v>
                </c:pt>
                <c:pt idx="10">
                  <c:v>0.48000000000000032</c:v>
                </c:pt>
              </c:numCache>
            </c:numRef>
          </c:val>
        </c:ser>
        <c:ser>
          <c:idx val="4"/>
          <c:order val="4"/>
          <c:tx>
            <c:strRef>
              <c:f>Sheet1!$A$453</c:f>
              <c:strCache>
                <c:ptCount val="1"/>
                <c:pt idx="0">
                  <c:v>Don't know</c:v>
                </c:pt>
              </c:strCache>
            </c:strRef>
          </c:tx>
          <c:invertIfNegative val="0"/>
          <c:dPt>
            <c:idx val="1"/>
            <c:invertIfNegative val="0"/>
            <c:bubble3D val="0"/>
            <c:spPr>
              <a:solidFill>
                <a:srgbClr val="4BACC6">
                  <a:lumMod val="60000"/>
                  <a:lumOff val="40000"/>
                </a:srgbClr>
              </a:solidFill>
            </c:spPr>
          </c:dPt>
          <c:dLbls>
            <c:dLbl>
              <c:idx val="2"/>
              <c:delete val="1"/>
            </c:dLbl>
            <c:dLbl>
              <c:idx val="4"/>
              <c:delete val="1"/>
            </c:dLbl>
            <c:dLbl>
              <c:idx val="5"/>
              <c:delete val="1"/>
            </c:dLbl>
            <c:dLbl>
              <c:idx val="8"/>
              <c:delete val="1"/>
            </c:dLbl>
            <c:showLegendKey val="0"/>
            <c:showVal val="1"/>
            <c:showCatName val="0"/>
            <c:showSerName val="0"/>
            <c:showPercent val="0"/>
            <c:showBubbleSize val="0"/>
            <c:showLeaderLines val="0"/>
          </c:dLbls>
          <c:cat>
            <c:strRef>
              <c:f>Sheet1!$B$448:$L$448</c:f>
              <c:strCache>
                <c:ptCount val="11"/>
                <c:pt idx="0">
                  <c:v>2013 (917)</c:v>
                </c:pt>
                <c:pt idx="1">
                  <c:v>2012 (937)</c:v>
                </c:pt>
                <c:pt idx="2">
                  <c:v>East (126)</c:v>
                </c:pt>
                <c:pt idx="3">
                  <c:v>East Midlands (113)</c:v>
                </c:pt>
                <c:pt idx="4">
                  <c:v>London (91)</c:v>
                </c:pt>
                <c:pt idx="5">
                  <c:v>North East (66)</c:v>
                </c:pt>
                <c:pt idx="6">
                  <c:v>North West (93)</c:v>
                </c:pt>
                <c:pt idx="7">
                  <c:v>South East (145)</c:v>
                </c:pt>
                <c:pt idx="8">
                  <c:v>South West (92)</c:v>
                </c:pt>
                <c:pt idx="9">
                  <c:v>West Midlands (101)</c:v>
                </c:pt>
                <c:pt idx="10">
                  <c:v>Yorks. and the Humber (90)</c:v>
                </c:pt>
              </c:strCache>
            </c:strRef>
          </c:cat>
          <c:val>
            <c:numRef>
              <c:f>Sheet1!$B$453:$L$453</c:f>
              <c:numCache>
                <c:formatCode>0%</c:formatCode>
                <c:ptCount val="11"/>
                <c:pt idx="0">
                  <c:v>1.0000000000000005E-2</c:v>
                </c:pt>
                <c:pt idx="1">
                  <c:v>1.0000000000000005E-2</c:v>
                </c:pt>
                <c:pt idx="2">
                  <c:v>0</c:v>
                </c:pt>
                <c:pt idx="3">
                  <c:v>3.0000000000000002E-2</c:v>
                </c:pt>
                <c:pt idx="4">
                  <c:v>0</c:v>
                </c:pt>
                <c:pt idx="5">
                  <c:v>0</c:v>
                </c:pt>
                <c:pt idx="6">
                  <c:v>1.0000000000000005E-2</c:v>
                </c:pt>
                <c:pt idx="7">
                  <c:v>1.0000000000000005E-2</c:v>
                </c:pt>
                <c:pt idx="8">
                  <c:v>0</c:v>
                </c:pt>
                <c:pt idx="9">
                  <c:v>1.0000000000000005E-2</c:v>
                </c:pt>
                <c:pt idx="10">
                  <c:v>2.0000000000000011E-2</c:v>
                </c:pt>
              </c:numCache>
            </c:numRef>
          </c:val>
        </c:ser>
        <c:dLbls>
          <c:showLegendKey val="0"/>
          <c:showVal val="1"/>
          <c:showCatName val="0"/>
          <c:showSerName val="0"/>
          <c:showPercent val="0"/>
          <c:showBubbleSize val="0"/>
        </c:dLbls>
        <c:gapWidth val="40"/>
        <c:overlap val="100"/>
        <c:axId val="146680832"/>
        <c:axId val="55128448"/>
      </c:barChart>
      <c:catAx>
        <c:axId val="146680832"/>
        <c:scaling>
          <c:orientation val="maxMin"/>
        </c:scaling>
        <c:delete val="0"/>
        <c:axPos val="l"/>
        <c:majorTickMark val="none"/>
        <c:minorTickMark val="none"/>
        <c:tickLblPos val="low"/>
        <c:crossAx val="55128448"/>
        <c:crosses val="autoZero"/>
        <c:auto val="1"/>
        <c:lblAlgn val="ctr"/>
        <c:lblOffset val="100"/>
        <c:noMultiLvlLbl val="0"/>
      </c:catAx>
      <c:valAx>
        <c:axId val="55128448"/>
        <c:scaling>
          <c:orientation val="minMax"/>
        </c:scaling>
        <c:delete val="1"/>
        <c:axPos val="b"/>
        <c:numFmt formatCode="0%" sourceLinked="1"/>
        <c:majorTickMark val="none"/>
        <c:minorTickMark val="none"/>
        <c:tickLblPos val="none"/>
        <c:crossAx val="146680832"/>
        <c:crosses val="max"/>
        <c:crossBetween val="between"/>
      </c:valAx>
    </c:plotArea>
    <c:legend>
      <c:legendPos val="b"/>
      <c:layout/>
      <c:overlay val="0"/>
    </c:legend>
    <c:plotVisOnly val="1"/>
    <c:dispBlanksAs val="gap"/>
    <c:showDLblsOverMax val="0"/>
  </c:chart>
  <c:spPr>
    <a:ln>
      <a:noFill/>
    </a:ln>
  </c:spPr>
  <c:txPr>
    <a:bodyPr/>
    <a:lstStyle/>
    <a:p>
      <a:pPr>
        <a:defRPr sz="1100">
          <a:effectLst>
            <a:glow rad="101600">
              <a:schemeClr val="bg1">
                <a:alpha val="60000"/>
              </a:schemeClr>
            </a:glow>
          </a:effectLst>
        </a:defRPr>
      </a:pPr>
      <a:endParaRPr lang="en-US"/>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Sheet1!$A$465</c:f>
              <c:strCache>
                <c:ptCount val="1"/>
                <c:pt idx="0">
                  <c:v>Not at all </c:v>
                </c:pt>
              </c:strCache>
            </c:strRef>
          </c:tx>
          <c:invertIfNegative val="0"/>
          <c:cat>
            <c:strRef>
              <c:f>Sheet1!$B$464:$L$464</c:f>
              <c:strCache>
                <c:ptCount val="11"/>
                <c:pt idx="0">
                  <c:v>2013 (917)</c:v>
                </c:pt>
                <c:pt idx="1">
                  <c:v>2012 (937)</c:v>
                </c:pt>
                <c:pt idx="2">
                  <c:v>East (126)</c:v>
                </c:pt>
                <c:pt idx="3">
                  <c:v>East Midlands (113)</c:v>
                </c:pt>
                <c:pt idx="4">
                  <c:v>London (91)</c:v>
                </c:pt>
                <c:pt idx="5">
                  <c:v>North East (66)</c:v>
                </c:pt>
                <c:pt idx="6">
                  <c:v>North West (93)</c:v>
                </c:pt>
                <c:pt idx="7">
                  <c:v>South East (145)</c:v>
                </c:pt>
                <c:pt idx="8">
                  <c:v>South West (92)</c:v>
                </c:pt>
                <c:pt idx="9">
                  <c:v>West Midlands (101)</c:v>
                </c:pt>
                <c:pt idx="10">
                  <c:v>Yorks. and the Humber (90)</c:v>
                </c:pt>
              </c:strCache>
            </c:strRef>
          </c:cat>
          <c:val>
            <c:numRef>
              <c:f>Sheet1!$B$465:$L$465</c:f>
              <c:numCache>
                <c:formatCode>0%</c:formatCode>
                <c:ptCount val="11"/>
                <c:pt idx="0">
                  <c:v>3.0000000000000002E-2</c:v>
                </c:pt>
                <c:pt idx="1">
                  <c:v>3.0000000000000002E-2</c:v>
                </c:pt>
                <c:pt idx="2">
                  <c:v>1.0000000000000005E-2</c:v>
                </c:pt>
                <c:pt idx="3">
                  <c:v>2.0000000000000011E-2</c:v>
                </c:pt>
                <c:pt idx="4">
                  <c:v>0.05</c:v>
                </c:pt>
                <c:pt idx="5">
                  <c:v>0.05</c:v>
                </c:pt>
                <c:pt idx="6">
                  <c:v>3.0000000000000002E-2</c:v>
                </c:pt>
                <c:pt idx="7">
                  <c:v>3.0000000000000002E-2</c:v>
                </c:pt>
                <c:pt idx="8">
                  <c:v>8.0000000000000043E-2</c:v>
                </c:pt>
                <c:pt idx="9">
                  <c:v>3.0000000000000002E-2</c:v>
                </c:pt>
                <c:pt idx="10">
                  <c:v>1.0000000000000005E-2</c:v>
                </c:pt>
              </c:numCache>
            </c:numRef>
          </c:val>
        </c:ser>
        <c:ser>
          <c:idx val="1"/>
          <c:order val="1"/>
          <c:tx>
            <c:strRef>
              <c:f>Sheet1!$A$466</c:f>
              <c:strCache>
                <c:ptCount val="1"/>
                <c:pt idx="0">
                  <c:v>To a small extent </c:v>
                </c:pt>
              </c:strCache>
            </c:strRef>
          </c:tx>
          <c:invertIfNegative val="0"/>
          <c:cat>
            <c:strRef>
              <c:f>Sheet1!$B$464:$L$464</c:f>
              <c:strCache>
                <c:ptCount val="11"/>
                <c:pt idx="0">
                  <c:v>2013 (917)</c:v>
                </c:pt>
                <c:pt idx="1">
                  <c:v>2012 (937)</c:v>
                </c:pt>
                <c:pt idx="2">
                  <c:v>East (126)</c:v>
                </c:pt>
                <c:pt idx="3">
                  <c:v>East Midlands (113)</c:v>
                </c:pt>
                <c:pt idx="4">
                  <c:v>London (91)</c:v>
                </c:pt>
                <c:pt idx="5">
                  <c:v>North East (66)</c:v>
                </c:pt>
                <c:pt idx="6">
                  <c:v>North West (93)</c:v>
                </c:pt>
                <c:pt idx="7">
                  <c:v>South East (145)</c:v>
                </c:pt>
                <c:pt idx="8">
                  <c:v>South West (92)</c:v>
                </c:pt>
                <c:pt idx="9">
                  <c:v>West Midlands (101)</c:v>
                </c:pt>
                <c:pt idx="10">
                  <c:v>Yorks. and the Humber (90)</c:v>
                </c:pt>
              </c:strCache>
            </c:strRef>
          </c:cat>
          <c:val>
            <c:numRef>
              <c:f>Sheet1!$B$466:$L$466</c:f>
              <c:numCache>
                <c:formatCode>0%</c:formatCode>
                <c:ptCount val="11"/>
                <c:pt idx="0">
                  <c:v>0.11</c:v>
                </c:pt>
                <c:pt idx="1">
                  <c:v>0.14000000000000001</c:v>
                </c:pt>
                <c:pt idx="2">
                  <c:v>0.13</c:v>
                </c:pt>
                <c:pt idx="3">
                  <c:v>7.0000000000000021E-2</c:v>
                </c:pt>
                <c:pt idx="4">
                  <c:v>0.11</c:v>
                </c:pt>
                <c:pt idx="5">
                  <c:v>0.15000000000000022</c:v>
                </c:pt>
                <c:pt idx="6">
                  <c:v>0.12000000000000002</c:v>
                </c:pt>
                <c:pt idx="7">
                  <c:v>0.11</c:v>
                </c:pt>
                <c:pt idx="8">
                  <c:v>8.0000000000000043E-2</c:v>
                </c:pt>
                <c:pt idx="9">
                  <c:v>0.15000000000000022</c:v>
                </c:pt>
                <c:pt idx="10">
                  <c:v>0.12000000000000002</c:v>
                </c:pt>
              </c:numCache>
            </c:numRef>
          </c:val>
        </c:ser>
        <c:ser>
          <c:idx val="2"/>
          <c:order val="2"/>
          <c:tx>
            <c:strRef>
              <c:f>Sheet1!$A$467</c:f>
              <c:strCache>
                <c:ptCount val="1"/>
                <c:pt idx="0">
                  <c:v>To a moderate extent</c:v>
                </c:pt>
              </c:strCache>
            </c:strRef>
          </c:tx>
          <c:invertIfNegative val="0"/>
          <c:cat>
            <c:strRef>
              <c:f>Sheet1!$B$464:$L$464</c:f>
              <c:strCache>
                <c:ptCount val="11"/>
                <c:pt idx="0">
                  <c:v>2013 (917)</c:v>
                </c:pt>
                <c:pt idx="1">
                  <c:v>2012 (937)</c:v>
                </c:pt>
                <c:pt idx="2">
                  <c:v>East (126)</c:v>
                </c:pt>
                <c:pt idx="3">
                  <c:v>East Midlands (113)</c:v>
                </c:pt>
                <c:pt idx="4">
                  <c:v>London (91)</c:v>
                </c:pt>
                <c:pt idx="5">
                  <c:v>North East (66)</c:v>
                </c:pt>
                <c:pt idx="6">
                  <c:v>North West (93)</c:v>
                </c:pt>
                <c:pt idx="7">
                  <c:v>South East (145)</c:v>
                </c:pt>
                <c:pt idx="8">
                  <c:v>South West (92)</c:v>
                </c:pt>
                <c:pt idx="9">
                  <c:v>West Midlands (101)</c:v>
                </c:pt>
                <c:pt idx="10">
                  <c:v>Yorks. and the Humber (90)</c:v>
                </c:pt>
              </c:strCache>
            </c:strRef>
          </c:cat>
          <c:val>
            <c:numRef>
              <c:f>Sheet1!$B$467:$L$467</c:f>
              <c:numCache>
                <c:formatCode>0%</c:formatCode>
                <c:ptCount val="11"/>
                <c:pt idx="0">
                  <c:v>0.53</c:v>
                </c:pt>
                <c:pt idx="1">
                  <c:v>0.48000000000000032</c:v>
                </c:pt>
                <c:pt idx="2">
                  <c:v>0.60000000000000064</c:v>
                </c:pt>
                <c:pt idx="3">
                  <c:v>0.48000000000000032</c:v>
                </c:pt>
                <c:pt idx="4">
                  <c:v>0.54</c:v>
                </c:pt>
                <c:pt idx="5">
                  <c:v>0.41000000000000031</c:v>
                </c:pt>
                <c:pt idx="6">
                  <c:v>0.53</c:v>
                </c:pt>
                <c:pt idx="7">
                  <c:v>0.56000000000000005</c:v>
                </c:pt>
                <c:pt idx="8">
                  <c:v>0.53</c:v>
                </c:pt>
                <c:pt idx="9">
                  <c:v>0.52</c:v>
                </c:pt>
                <c:pt idx="10">
                  <c:v>0.5</c:v>
                </c:pt>
              </c:numCache>
            </c:numRef>
          </c:val>
        </c:ser>
        <c:ser>
          <c:idx val="3"/>
          <c:order val="3"/>
          <c:tx>
            <c:strRef>
              <c:f>Sheet1!$A$468</c:f>
              <c:strCache>
                <c:ptCount val="1"/>
                <c:pt idx="0">
                  <c:v>To a great extent</c:v>
                </c:pt>
              </c:strCache>
            </c:strRef>
          </c:tx>
          <c:invertIfNegative val="0"/>
          <c:cat>
            <c:strRef>
              <c:f>Sheet1!$B$464:$L$464</c:f>
              <c:strCache>
                <c:ptCount val="11"/>
                <c:pt idx="0">
                  <c:v>2013 (917)</c:v>
                </c:pt>
                <c:pt idx="1">
                  <c:v>2012 (937)</c:v>
                </c:pt>
                <c:pt idx="2">
                  <c:v>East (126)</c:v>
                </c:pt>
                <c:pt idx="3">
                  <c:v>East Midlands (113)</c:v>
                </c:pt>
                <c:pt idx="4">
                  <c:v>London (91)</c:v>
                </c:pt>
                <c:pt idx="5">
                  <c:v>North East (66)</c:v>
                </c:pt>
                <c:pt idx="6">
                  <c:v>North West (93)</c:v>
                </c:pt>
                <c:pt idx="7">
                  <c:v>South East (145)</c:v>
                </c:pt>
                <c:pt idx="8">
                  <c:v>South West (92)</c:v>
                </c:pt>
                <c:pt idx="9">
                  <c:v>West Midlands (101)</c:v>
                </c:pt>
                <c:pt idx="10">
                  <c:v>Yorks. and the Humber (90)</c:v>
                </c:pt>
              </c:strCache>
            </c:strRef>
          </c:cat>
          <c:val>
            <c:numRef>
              <c:f>Sheet1!$B$468:$L$468</c:f>
              <c:numCache>
                <c:formatCode>0%</c:formatCode>
                <c:ptCount val="11"/>
                <c:pt idx="0">
                  <c:v>0.27</c:v>
                </c:pt>
                <c:pt idx="1">
                  <c:v>0.30000000000000032</c:v>
                </c:pt>
                <c:pt idx="2">
                  <c:v>0.24000000000000021</c:v>
                </c:pt>
                <c:pt idx="3">
                  <c:v>0.35000000000000031</c:v>
                </c:pt>
                <c:pt idx="4">
                  <c:v>0.23</c:v>
                </c:pt>
                <c:pt idx="5">
                  <c:v>0.33000000000000057</c:v>
                </c:pt>
                <c:pt idx="6">
                  <c:v>0.27</c:v>
                </c:pt>
                <c:pt idx="7">
                  <c:v>0.23</c:v>
                </c:pt>
                <c:pt idx="8">
                  <c:v>0.29000000000000031</c:v>
                </c:pt>
                <c:pt idx="9">
                  <c:v>0.24000000000000021</c:v>
                </c:pt>
                <c:pt idx="10">
                  <c:v>0.30000000000000032</c:v>
                </c:pt>
              </c:numCache>
            </c:numRef>
          </c:val>
        </c:ser>
        <c:ser>
          <c:idx val="4"/>
          <c:order val="4"/>
          <c:tx>
            <c:strRef>
              <c:f>Sheet1!$A$469</c:f>
              <c:strCache>
                <c:ptCount val="1"/>
                <c:pt idx="0">
                  <c:v>Don't know</c:v>
                </c:pt>
              </c:strCache>
            </c:strRef>
          </c:tx>
          <c:invertIfNegative val="0"/>
          <c:cat>
            <c:strRef>
              <c:f>Sheet1!$B$464:$L$464</c:f>
              <c:strCache>
                <c:ptCount val="11"/>
                <c:pt idx="0">
                  <c:v>2013 (917)</c:v>
                </c:pt>
                <c:pt idx="1">
                  <c:v>2012 (937)</c:v>
                </c:pt>
                <c:pt idx="2">
                  <c:v>East (126)</c:v>
                </c:pt>
                <c:pt idx="3">
                  <c:v>East Midlands (113)</c:v>
                </c:pt>
                <c:pt idx="4">
                  <c:v>London (91)</c:v>
                </c:pt>
                <c:pt idx="5">
                  <c:v>North East (66)</c:v>
                </c:pt>
                <c:pt idx="6">
                  <c:v>North West (93)</c:v>
                </c:pt>
                <c:pt idx="7">
                  <c:v>South East (145)</c:v>
                </c:pt>
                <c:pt idx="8">
                  <c:v>South West (92)</c:v>
                </c:pt>
                <c:pt idx="9">
                  <c:v>West Midlands (101)</c:v>
                </c:pt>
                <c:pt idx="10">
                  <c:v>Yorks. and the Humber (90)</c:v>
                </c:pt>
              </c:strCache>
            </c:strRef>
          </c:cat>
          <c:val>
            <c:numRef>
              <c:f>Sheet1!$B$469:$L$469</c:f>
              <c:numCache>
                <c:formatCode>0%</c:formatCode>
                <c:ptCount val="11"/>
                <c:pt idx="0">
                  <c:v>6.0000000000000032E-2</c:v>
                </c:pt>
                <c:pt idx="1">
                  <c:v>4.0000000000000022E-2</c:v>
                </c:pt>
                <c:pt idx="2">
                  <c:v>3.0000000000000002E-2</c:v>
                </c:pt>
                <c:pt idx="3">
                  <c:v>8.0000000000000043E-2</c:v>
                </c:pt>
                <c:pt idx="4">
                  <c:v>7.0000000000000021E-2</c:v>
                </c:pt>
                <c:pt idx="5">
                  <c:v>6.0000000000000032E-2</c:v>
                </c:pt>
                <c:pt idx="6">
                  <c:v>0.05</c:v>
                </c:pt>
                <c:pt idx="7">
                  <c:v>7.0000000000000021E-2</c:v>
                </c:pt>
                <c:pt idx="8">
                  <c:v>2.0000000000000011E-2</c:v>
                </c:pt>
                <c:pt idx="9">
                  <c:v>6.0000000000000032E-2</c:v>
                </c:pt>
                <c:pt idx="10">
                  <c:v>7.0000000000000021E-2</c:v>
                </c:pt>
              </c:numCache>
            </c:numRef>
          </c:val>
        </c:ser>
        <c:dLbls>
          <c:showLegendKey val="0"/>
          <c:showVal val="1"/>
          <c:showCatName val="0"/>
          <c:showSerName val="0"/>
          <c:showPercent val="0"/>
          <c:showBubbleSize val="0"/>
        </c:dLbls>
        <c:gapWidth val="40"/>
        <c:overlap val="100"/>
        <c:axId val="55178368"/>
        <c:axId val="55179904"/>
      </c:barChart>
      <c:catAx>
        <c:axId val="55178368"/>
        <c:scaling>
          <c:orientation val="maxMin"/>
        </c:scaling>
        <c:delete val="0"/>
        <c:axPos val="l"/>
        <c:majorTickMark val="none"/>
        <c:minorTickMark val="none"/>
        <c:tickLblPos val="low"/>
        <c:crossAx val="55179904"/>
        <c:crosses val="autoZero"/>
        <c:auto val="1"/>
        <c:lblAlgn val="ctr"/>
        <c:lblOffset val="100"/>
        <c:noMultiLvlLbl val="0"/>
      </c:catAx>
      <c:valAx>
        <c:axId val="55179904"/>
        <c:scaling>
          <c:orientation val="minMax"/>
        </c:scaling>
        <c:delete val="1"/>
        <c:axPos val="b"/>
        <c:numFmt formatCode="0%" sourceLinked="1"/>
        <c:majorTickMark val="none"/>
        <c:minorTickMark val="none"/>
        <c:tickLblPos val="none"/>
        <c:crossAx val="55178368"/>
        <c:crosses val="max"/>
        <c:crossBetween val="between"/>
      </c:valAx>
    </c:plotArea>
    <c:legend>
      <c:legendPos val="b"/>
      <c:layout/>
      <c:overlay val="0"/>
    </c:legend>
    <c:plotVisOnly val="1"/>
    <c:dispBlanksAs val="gap"/>
    <c:showDLblsOverMax val="0"/>
  </c:chart>
  <c:spPr>
    <a:ln>
      <a:noFill/>
    </a:ln>
  </c:spPr>
  <c:txPr>
    <a:bodyPr/>
    <a:lstStyle/>
    <a:p>
      <a:pPr>
        <a:defRPr sz="1100">
          <a:effectLst>
            <a:glow rad="101600">
              <a:schemeClr val="bg1">
                <a:alpha val="60000"/>
              </a:schemeClr>
            </a:glow>
          </a:effectLst>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Sheet1!$A$24</c:f>
              <c:strCache>
                <c:ptCount val="1"/>
                <c:pt idx="0">
                  <c:v>Not at all </c:v>
                </c:pt>
              </c:strCache>
            </c:strRef>
          </c:tx>
          <c:invertIfNegative val="0"/>
          <c:dLbls>
            <c:dLbl>
              <c:idx val="0"/>
              <c:layout>
                <c:manualLayout>
                  <c:x val="-1.094690749863164E-2"/>
                  <c:y val="0"/>
                </c:manualLayout>
              </c:layout>
              <c:showLegendKey val="0"/>
              <c:showVal val="1"/>
              <c:showCatName val="0"/>
              <c:showSerName val="0"/>
              <c:showPercent val="0"/>
              <c:showBubbleSize val="0"/>
            </c:dLbl>
            <c:dLbl>
              <c:idx val="2"/>
              <c:delete val="1"/>
            </c:dLbl>
            <c:dLbl>
              <c:idx val="3"/>
              <c:layout>
                <c:manualLayout>
                  <c:x val="-8.7575259989053269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Sheet1!$B$23:$F$23</c:f>
              <c:strCache>
                <c:ptCount val="5"/>
                <c:pt idx="0">
                  <c:v>2013 (917)</c:v>
                </c:pt>
                <c:pt idx="1">
                  <c:v>2012 (937)</c:v>
                </c:pt>
                <c:pt idx="2">
                  <c:v>Officers (325)</c:v>
                </c:pt>
                <c:pt idx="3">
                  <c:v>Frontbench Councillors (281)</c:v>
                </c:pt>
                <c:pt idx="4">
                  <c:v>Backbench Councillors (311)</c:v>
                </c:pt>
              </c:strCache>
            </c:strRef>
          </c:cat>
          <c:val>
            <c:numRef>
              <c:f>Sheet1!$B$24:$F$24</c:f>
              <c:numCache>
                <c:formatCode>0%</c:formatCode>
                <c:ptCount val="5"/>
                <c:pt idx="0">
                  <c:v>1.0000000000000005E-2</c:v>
                </c:pt>
                <c:pt idx="1">
                  <c:v>1.0000000000000005E-2</c:v>
                </c:pt>
                <c:pt idx="2">
                  <c:v>0</c:v>
                </c:pt>
                <c:pt idx="3">
                  <c:v>1.0000000000000005E-2</c:v>
                </c:pt>
                <c:pt idx="4">
                  <c:v>2.0000000000000011E-2</c:v>
                </c:pt>
              </c:numCache>
            </c:numRef>
          </c:val>
        </c:ser>
        <c:ser>
          <c:idx val="1"/>
          <c:order val="1"/>
          <c:tx>
            <c:strRef>
              <c:f>Sheet1!$A$25</c:f>
              <c:strCache>
                <c:ptCount val="1"/>
                <c:pt idx="0">
                  <c:v>Not very much </c:v>
                </c:pt>
              </c:strCache>
            </c:strRef>
          </c:tx>
          <c:invertIfNegative val="0"/>
          <c:dPt>
            <c:idx val="1"/>
            <c:invertIfNegative val="0"/>
            <c:bubble3D val="0"/>
            <c:spPr>
              <a:solidFill>
                <a:srgbClr val="C0504D">
                  <a:lumMod val="60000"/>
                  <a:lumOff val="40000"/>
                </a:srgbClr>
              </a:solidFill>
            </c:spPr>
          </c:dPt>
          <c:cat>
            <c:strRef>
              <c:f>Sheet1!$B$23:$F$23</c:f>
              <c:strCache>
                <c:ptCount val="5"/>
                <c:pt idx="0">
                  <c:v>2013 (917)</c:v>
                </c:pt>
                <c:pt idx="1">
                  <c:v>2012 (937)</c:v>
                </c:pt>
                <c:pt idx="2">
                  <c:v>Officers (325)</c:v>
                </c:pt>
                <c:pt idx="3">
                  <c:v>Frontbench Councillors (281)</c:v>
                </c:pt>
                <c:pt idx="4">
                  <c:v>Backbench Councillors (311)</c:v>
                </c:pt>
              </c:strCache>
            </c:strRef>
          </c:cat>
          <c:val>
            <c:numRef>
              <c:f>Sheet1!$B$25:$F$25</c:f>
              <c:numCache>
                <c:formatCode>0%</c:formatCode>
                <c:ptCount val="5"/>
                <c:pt idx="0">
                  <c:v>8.0000000000000043E-2</c:v>
                </c:pt>
                <c:pt idx="1">
                  <c:v>0.11</c:v>
                </c:pt>
                <c:pt idx="2">
                  <c:v>4.0000000000000022E-2</c:v>
                </c:pt>
                <c:pt idx="3">
                  <c:v>6.0000000000000032E-2</c:v>
                </c:pt>
                <c:pt idx="4">
                  <c:v>0.14000000000000001</c:v>
                </c:pt>
              </c:numCache>
            </c:numRef>
          </c:val>
        </c:ser>
        <c:ser>
          <c:idx val="2"/>
          <c:order val="2"/>
          <c:tx>
            <c:strRef>
              <c:f>Sheet1!$A$26</c:f>
              <c:strCache>
                <c:ptCount val="1"/>
                <c:pt idx="0">
                  <c:v>To some extent </c:v>
                </c:pt>
              </c:strCache>
            </c:strRef>
          </c:tx>
          <c:invertIfNegative val="0"/>
          <c:dPt>
            <c:idx val="1"/>
            <c:invertIfNegative val="0"/>
            <c:bubble3D val="0"/>
            <c:spPr>
              <a:solidFill>
                <a:srgbClr val="9BBB59">
                  <a:lumMod val="60000"/>
                  <a:lumOff val="40000"/>
                </a:srgbClr>
              </a:solidFill>
            </c:spPr>
          </c:dPt>
          <c:cat>
            <c:strRef>
              <c:f>Sheet1!$B$23:$F$23</c:f>
              <c:strCache>
                <c:ptCount val="5"/>
                <c:pt idx="0">
                  <c:v>2013 (917)</c:v>
                </c:pt>
                <c:pt idx="1">
                  <c:v>2012 (937)</c:v>
                </c:pt>
                <c:pt idx="2">
                  <c:v>Officers (325)</c:v>
                </c:pt>
                <c:pt idx="3">
                  <c:v>Frontbench Councillors (281)</c:v>
                </c:pt>
                <c:pt idx="4">
                  <c:v>Backbench Councillors (311)</c:v>
                </c:pt>
              </c:strCache>
            </c:strRef>
          </c:cat>
          <c:val>
            <c:numRef>
              <c:f>Sheet1!$B$26:$F$26</c:f>
              <c:numCache>
                <c:formatCode>0%</c:formatCode>
                <c:ptCount val="5"/>
                <c:pt idx="0">
                  <c:v>0.52</c:v>
                </c:pt>
                <c:pt idx="1">
                  <c:v>0.58000000000000007</c:v>
                </c:pt>
                <c:pt idx="2">
                  <c:v>0.49000000000000032</c:v>
                </c:pt>
                <c:pt idx="3">
                  <c:v>0.46</c:v>
                </c:pt>
                <c:pt idx="4">
                  <c:v>0.60000000000000064</c:v>
                </c:pt>
              </c:numCache>
            </c:numRef>
          </c:val>
        </c:ser>
        <c:ser>
          <c:idx val="3"/>
          <c:order val="3"/>
          <c:tx>
            <c:strRef>
              <c:f>Sheet1!$A$27</c:f>
              <c:strCache>
                <c:ptCount val="1"/>
                <c:pt idx="0">
                  <c:v>A great deal </c:v>
                </c:pt>
              </c:strCache>
            </c:strRef>
          </c:tx>
          <c:invertIfNegative val="0"/>
          <c:dPt>
            <c:idx val="1"/>
            <c:invertIfNegative val="0"/>
            <c:bubble3D val="0"/>
            <c:spPr>
              <a:solidFill>
                <a:srgbClr val="8064A2">
                  <a:lumMod val="60000"/>
                  <a:lumOff val="40000"/>
                </a:srgbClr>
              </a:solidFill>
            </c:spPr>
          </c:dPt>
          <c:cat>
            <c:strRef>
              <c:f>Sheet1!$B$23:$F$23</c:f>
              <c:strCache>
                <c:ptCount val="5"/>
                <c:pt idx="0">
                  <c:v>2013 (917)</c:v>
                </c:pt>
                <c:pt idx="1">
                  <c:v>2012 (937)</c:v>
                </c:pt>
                <c:pt idx="2">
                  <c:v>Officers (325)</c:v>
                </c:pt>
                <c:pt idx="3">
                  <c:v>Frontbench Councillors (281)</c:v>
                </c:pt>
                <c:pt idx="4">
                  <c:v>Backbench Councillors (311)</c:v>
                </c:pt>
              </c:strCache>
            </c:strRef>
          </c:cat>
          <c:val>
            <c:numRef>
              <c:f>Sheet1!$B$27:$F$27</c:f>
              <c:numCache>
                <c:formatCode>0%</c:formatCode>
                <c:ptCount val="5"/>
                <c:pt idx="0">
                  <c:v>0.39000000000000057</c:v>
                </c:pt>
                <c:pt idx="1">
                  <c:v>0.3100000000000005</c:v>
                </c:pt>
                <c:pt idx="2">
                  <c:v>0.47000000000000008</c:v>
                </c:pt>
                <c:pt idx="3">
                  <c:v>0.47000000000000008</c:v>
                </c:pt>
                <c:pt idx="4">
                  <c:v>0.24000000000000021</c:v>
                </c:pt>
              </c:numCache>
            </c:numRef>
          </c:val>
        </c:ser>
        <c:dLbls>
          <c:showLegendKey val="0"/>
          <c:showVal val="1"/>
          <c:showCatName val="0"/>
          <c:showSerName val="0"/>
          <c:showPercent val="0"/>
          <c:showBubbleSize val="0"/>
        </c:dLbls>
        <c:gapWidth val="40"/>
        <c:overlap val="100"/>
        <c:axId val="124023936"/>
        <c:axId val="31109888"/>
      </c:barChart>
      <c:catAx>
        <c:axId val="124023936"/>
        <c:scaling>
          <c:orientation val="maxMin"/>
        </c:scaling>
        <c:delete val="0"/>
        <c:axPos val="l"/>
        <c:majorTickMark val="none"/>
        <c:minorTickMark val="none"/>
        <c:tickLblPos val="low"/>
        <c:crossAx val="31109888"/>
        <c:crosses val="autoZero"/>
        <c:auto val="1"/>
        <c:lblAlgn val="ctr"/>
        <c:lblOffset val="100"/>
        <c:noMultiLvlLbl val="0"/>
      </c:catAx>
      <c:valAx>
        <c:axId val="31109888"/>
        <c:scaling>
          <c:orientation val="minMax"/>
        </c:scaling>
        <c:delete val="1"/>
        <c:axPos val="b"/>
        <c:numFmt formatCode="0%" sourceLinked="1"/>
        <c:majorTickMark val="none"/>
        <c:minorTickMark val="none"/>
        <c:tickLblPos val="none"/>
        <c:crossAx val="124023936"/>
        <c:crosses val="max"/>
        <c:crossBetween val="between"/>
      </c:valAx>
    </c:plotArea>
    <c:legend>
      <c:legendPos val="b"/>
      <c:layout/>
      <c:overlay val="0"/>
    </c:legend>
    <c:plotVisOnly val="1"/>
    <c:dispBlanksAs val="gap"/>
    <c:showDLblsOverMax val="0"/>
  </c:chart>
  <c:spPr>
    <a:ln>
      <a:noFill/>
    </a:ln>
  </c:spPr>
  <c:txPr>
    <a:bodyPr/>
    <a:lstStyle/>
    <a:p>
      <a:pPr>
        <a:defRPr sz="1100">
          <a:effectLst>
            <a:glow rad="101600">
              <a:schemeClr val="bg1">
                <a:alpha val="60000"/>
              </a:schemeClr>
            </a:glow>
          </a:effectLst>
        </a:defRPr>
      </a:pPr>
      <a:endParaRPr lang="en-US"/>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Sheet1!$A$571</c:f>
              <c:strCache>
                <c:ptCount val="1"/>
                <c:pt idx="0">
                  <c:v>Very satisfied </c:v>
                </c:pt>
              </c:strCache>
            </c:strRef>
          </c:tx>
          <c:invertIfNegative val="0"/>
          <c:cat>
            <c:strRef>
              <c:f>Sheet1!$B$570:$E$570</c:f>
              <c:strCache>
                <c:ptCount val="4"/>
                <c:pt idx="0">
                  <c:v>Total (160)</c:v>
                </c:pt>
                <c:pt idx="1">
                  <c:v>Officers (60)</c:v>
                </c:pt>
                <c:pt idx="2">
                  <c:v>Frontbench Councillors (62)</c:v>
                </c:pt>
                <c:pt idx="3">
                  <c:v>Backbench Councillors (38)</c:v>
                </c:pt>
              </c:strCache>
            </c:strRef>
          </c:cat>
          <c:val>
            <c:numRef>
              <c:f>Sheet1!$B$571:$E$571</c:f>
              <c:numCache>
                <c:formatCode>0%</c:formatCode>
                <c:ptCount val="4"/>
                <c:pt idx="0">
                  <c:v>0.4</c:v>
                </c:pt>
                <c:pt idx="1">
                  <c:v>0.37000000000000038</c:v>
                </c:pt>
                <c:pt idx="2">
                  <c:v>0.44</c:v>
                </c:pt>
                <c:pt idx="3">
                  <c:v>0.39000000000000051</c:v>
                </c:pt>
              </c:numCache>
            </c:numRef>
          </c:val>
        </c:ser>
        <c:ser>
          <c:idx val="1"/>
          <c:order val="1"/>
          <c:tx>
            <c:strRef>
              <c:f>Sheet1!$A$572</c:f>
              <c:strCache>
                <c:ptCount val="1"/>
                <c:pt idx="0">
                  <c:v>Fairly satisfied</c:v>
                </c:pt>
              </c:strCache>
            </c:strRef>
          </c:tx>
          <c:invertIfNegative val="0"/>
          <c:cat>
            <c:strRef>
              <c:f>Sheet1!$B$570:$E$570</c:f>
              <c:strCache>
                <c:ptCount val="4"/>
                <c:pt idx="0">
                  <c:v>Total (160)</c:v>
                </c:pt>
                <c:pt idx="1">
                  <c:v>Officers (60)</c:v>
                </c:pt>
                <c:pt idx="2">
                  <c:v>Frontbench Councillors (62)</c:v>
                </c:pt>
                <c:pt idx="3">
                  <c:v>Backbench Councillors (38)</c:v>
                </c:pt>
              </c:strCache>
            </c:strRef>
          </c:cat>
          <c:val>
            <c:numRef>
              <c:f>Sheet1!$B$572:$E$572</c:f>
              <c:numCache>
                <c:formatCode>0%</c:formatCode>
                <c:ptCount val="4"/>
                <c:pt idx="0">
                  <c:v>0.39000000000000051</c:v>
                </c:pt>
                <c:pt idx="1">
                  <c:v>0.43000000000000038</c:v>
                </c:pt>
                <c:pt idx="2">
                  <c:v>0.35000000000000031</c:v>
                </c:pt>
                <c:pt idx="3">
                  <c:v>0.37000000000000038</c:v>
                </c:pt>
              </c:numCache>
            </c:numRef>
          </c:val>
        </c:ser>
        <c:ser>
          <c:idx val="2"/>
          <c:order val="2"/>
          <c:tx>
            <c:strRef>
              <c:f>Sheet1!$A$573</c:f>
              <c:strCache>
                <c:ptCount val="1"/>
                <c:pt idx="0">
                  <c:v>Neither satisfied or dissatisfied</c:v>
                </c:pt>
              </c:strCache>
            </c:strRef>
          </c:tx>
          <c:invertIfNegative val="0"/>
          <c:cat>
            <c:strRef>
              <c:f>Sheet1!$B$570:$E$570</c:f>
              <c:strCache>
                <c:ptCount val="4"/>
                <c:pt idx="0">
                  <c:v>Total (160)</c:v>
                </c:pt>
                <c:pt idx="1">
                  <c:v>Officers (60)</c:v>
                </c:pt>
                <c:pt idx="2">
                  <c:v>Frontbench Councillors (62)</c:v>
                </c:pt>
                <c:pt idx="3">
                  <c:v>Backbench Councillors (38)</c:v>
                </c:pt>
              </c:strCache>
            </c:strRef>
          </c:cat>
          <c:val>
            <c:numRef>
              <c:f>Sheet1!$B$573:$E$573</c:f>
              <c:numCache>
                <c:formatCode>0%</c:formatCode>
                <c:ptCount val="4"/>
                <c:pt idx="0">
                  <c:v>6.0000000000000032E-2</c:v>
                </c:pt>
                <c:pt idx="1">
                  <c:v>7.0000000000000021E-2</c:v>
                </c:pt>
                <c:pt idx="2">
                  <c:v>6.0000000000000032E-2</c:v>
                </c:pt>
                <c:pt idx="3">
                  <c:v>0.05</c:v>
                </c:pt>
              </c:numCache>
            </c:numRef>
          </c:val>
        </c:ser>
        <c:ser>
          <c:idx val="3"/>
          <c:order val="3"/>
          <c:tx>
            <c:strRef>
              <c:f>Sheet1!$A$574</c:f>
              <c:strCache>
                <c:ptCount val="1"/>
                <c:pt idx="0">
                  <c:v>Fairly dissatisfied </c:v>
                </c:pt>
              </c:strCache>
            </c:strRef>
          </c:tx>
          <c:invertIfNegative val="0"/>
          <c:dLbls>
            <c:dLbl>
              <c:idx val="3"/>
              <c:delete val="1"/>
            </c:dLbl>
            <c:showLegendKey val="0"/>
            <c:showVal val="1"/>
            <c:showCatName val="0"/>
            <c:showSerName val="0"/>
            <c:showPercent val="0"/>
            <c:showBubbleSize val="0"/>
            <c:showLeaderLines val="0"/>
          </c:dLbls>
          <c:cat>
            <c:strRef>
              <c:f>Sheet1!$B$570:$E$570</c:f>
              <c:strCache>
                <c:ptCount val="4"/>
                <c:pt idx="0">
                  <c:v>Total (160)</c:v>
                </c:pt>
                <c:pt idx="1">
                  <c:v>Officers (60)</c:v>
                </c:pt>
                <c:pt idx="2">
                  <c:v>Frontbench Councillors (62)</c:v>
                </c:pt>
                <c:pt idx="3">
                  <c:v>Backbench Councillors (38)</c:v>
                </c:pt>
              </c:strCache>
            </c:strRef>
          </c:cat>
          <c:val>
            <c:numRef>
              <c:f>Sheet1!$B$574:$E$574</c:f>
              <c:numCache>
                <c:formatCode>0%</c:formatCode>
                <c:ptCount val="4"/>
                <c:pt idx="0">
                  <c:v>4.0000000000000022E-2</c:v>
                </c:pt>
                <c:pt idx="1">
                  <c:v>0.05</c:v>
                </c:pt>
                <c:pt idx="2">
                  <c:v>0.05</c:v>
                </c:pt>
                <c:pt idx="3">
                  <c:v>0</c:v>
                </c:pt>
              </c:numCache>
            </c:numRef>
          </c:val>
        </c:ser>
        <c:ser>
          <c:idx val="4"/>
          <c:order val="4"/>
          <c:tx>
            <c:strRef>
              <c:f>Sheet1!$A$575</c:f>
              <c:strCache>
                <c:ptCount val="1"/>
                <c:pt idx="0">
                  <c:v>Very dissatisfied </c:v>
                </c:pt>
              </c:strCache>
            </c:strRef>
          </c:tx>
          <c:invertIfNegative val="0"/>
          <c:dLbls>
            <c:dLbl>
              <c:idx val="3"/>
              <c:delete val="1"/>
            </c:dLbl>
            <c:showLegendKey val="0"/>
            <c:showVal val="1"/>
            <c:showCatName val="0"/>
            <c:showSerName val="0"/>
            <c:showPercent val="0"/>
            <c:showBubbleSize val="0"/>
            <c:showLeaderLines val="0"/>
          </c:dLbls>
          <c:cat>
            <c:strRef>
              <c:f>Sheet1!$B$570:$E$570</c:f>
              <c:strCache>
                <c:ptCount val="4"/>
                <c:pt idx="0">
                  <c:v>Total (160)</c:v>
                </c:pt>
                <c:pt idx="1">
                  <c:v>Officers (60)</c:v>
                </c:pt>
                <c:pt idx="2">
                  <c:v>Frontbench Councillors (62)</c:v>
                </c:pt>
                <c:pt idx="3">
                  <c:v>Backbench Councillors (38)</c:v>
                </c:pt>
              </c:strCache>
            </c:strRef>
          </c:cat>
          <c:val>
            <c:numRef>
              <c:f>Sheet1!$B$575:$E$575</c:f>
              <c:numCache>
                <c:formatCode>0%</c:formatCode>
                <c:ptCount val="4"/>
                <c:pt idx="0">
                  <c:v>2.0000000000000011E-2</c:v>
                </c:pt>
                <c:pt idx="1">
                  <c:v>2.0000000000000011E-2</c:v>
                </c:pt>
                <c:pt idx="2">
                  <c:v>3.0000000000000002E-2</c:v>
                </c:pt>
                <c:pt idx="3">
                  <c:v>0</c:v>
                </c:pt>
              </c:numCache>
            </c:numRef>
          </c:val>
        </c:ser>
        <c:ser>
          <c:idx val="5"/>
          <c:order val="5"/>
          <c:tx>
            <c:strRef>
              <c:f>Sheet1!$A$576</c:f>
              <c:strCache>
                <c:ptCount val="1"/>
                <c:pt idx="0">
                  <c:v>Don't know</c:v>
                </c:pt>
              </c:strCache>
            </c:strRef>
          </c:tx>
          <c:invertIfNegative val="0"/>
          <c:cat>
            <c:strRef>
              <c:f>Sheet1!$B$570:$E$570</c:f>
              <c:strCache>
                <c:ptCount val="4"/>
                <c:pt idx="0">
                  <c:v>Total (160)</c:v>
                </c:pt>
                <c:pt idx="1">
                  <c:v>Officers (60)</c:v>
                </c:pt>
                <c:pt idx="2">
                  <c:v>Frontbench Councillors (62)</c:v>
                </c:pt>
                <c:pt idx="3">
                  <c:v>Backbench Councillors (38)</c:v>
                </c:pt>
              </c:strCache>
            </c:strRef>
          </c:cat>
          <c:val>
            <c:numRef>
              <c:f>Sheet1!$B$576:$E$576</c:f>
              <c:numCache>
                <c:formatCode>0%</c:formatCode>
                <c:ptCount val="4"/>
                <c:pt idx="0">
                  <c:v>9.0000000000000024E-2</c:v>
                </c:pt>
                <c:pt idx="1">
                  <c:v>7.0000000000000021E-2</c:v>
                </c:pt>
                <c:pt idx="2">
                  <c:v>6.0000000000000032E-2</c:v>
                </c:pt>
                <c:pt idx="3">
                  <c:v>0.18000000000000022</c:v>
                </c:pt>
              </c:numCache>
            </c:numRef>
          </c:val>
        </c:ser>
        <c:dLbls>
          <c:showLegendKey val="0"/>
          <c:showVal val="1"/>
          <c:showCatName val="0"/>
          <c:showSerName val="0"/>
          <c:showPercent val="0"/>
          <c:showBubbleSize val="0"/>
        </c:dLbls>
        <c:gapWidth val="40"/>
        <c:overlap val="100"/>
        <c:axId val="55289344"/>
        <c:axId val="55290880"/>
      </c:barChart>
      <c:catAx>
        <c:axId val="55289344"/>
        <c:scaling>
          <c:orientation val="maxMin"/>
        </c:scaling>
        <c:delete val="0"/>
        <c:axPos val="l"/>
        <c:majorTickMark val="none"/>
        <c:minorTickMark val="none"/>
        <c:tickLblPos val="low"/>
        <c:crossAx val="55290880"/>
        <c:crosses val="autoZero"/>
        <c:auto val="1"/>
        <c:lblAlgn val="ctr"/>
        <c:lblOffset val="100"/>
        <c:noMultiLvlLbl val="0"/>
      </c:catAx>
      <c:valAx>
        <c:axId val="55290880"/>
        <c:scaling>
          <c:orientation val="minMax"/>
        </c:scaling>
        <c:delete val="1"/>
        <c:axPos val="b"/>
        <c:numFmt formatCode="0%" sourceLinked="1"/>
        <c:majorTickMark val="none"/>
        <c:minorTickMark val="none"/>
        <c:tickLblPos val="none"/>
        <c:crossAx val="55289344"/>
        <c:crosses val="max"/>
        <c:crossBetween val="between"/>
      </c:valAx>
    </c:plotArea>
    <c:legend>
      <c:legendPos val="b"/>
      <c:layout/>
      <c:overlay val="0"/>
    </c:legend>
    <c:plotVisOnly val="1"/>
    <c:dispBlanksAs val="gap"/>
    <c:showDLblsOverMax val="0"/>
  </c:chart>
  <c:spPr>
    <a:ln>
      <a:noFill/>
    </a:ln>
  </c:spPr>
  <c:txPr>
    <a:bodyPr/>
    <a:lstStyle/>
    <a:p>
      <a:pPr>
        <a:defRPr sz="1100">
          <a:effectLst>
            <a:glow rad="101600">
              <a:schemeClr val="bg1">
                <a:alpha val="60000"/>
              </a:schemeClr>
            </a:glow>
          </a:effectLst>
        </a:defRPr>
      </a:pPr>
      <a:endParaRPr lang="en-US"/>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Sheet1!$B$3</c:f>
              <c:strCache>
                <c:ptCount val="1"/>
                <c:pt idx="0">
                  <c:v>Very satisfied</c:v>
                </c:pt>
              </c:strCache>
            </c:strRef>
          </c:tx>
          <c:invertIfNegative val="0"/>
          <c:cat>
            <c:strRef>
              <c:f>Sheet1!$C$2:$F$2</c:f>
              <c:strCache>
                <c:ptCount val="4"/>
                <c:pt idx="0">
                  <c:v>Total</c:v>
                </c:pt>
                <c:pt idx="1">
                  <c:v>Officers</c:v>
                </c:pt>
                <c:pt idx="2">
                  <c:v>Frontbench councillors</c:v>
                </c:pt>
                <c:pt idx="3">
                  <c:v>Backbench councillors</c:v>
                </c:pt>
              </c:strCache>
            </c:strRef>
          </c:cat>
          <c:val>
            <c:numRef>
              <c:f>Sheet1!$C$3:$F$3</c:f>
              <c:numCache>
                <c:formatCode>0%</c:formatCode>
                <c:ptCount val="4"/>
                <c:pt idx="0">
                  <c:v>0.24</c:v>
                </c:pt>
                <c:pt idx="1">
                  <c:v>0.26</c:v>
                </c:pt>
                <c:pt idx="2">
                  <c:v>0.28000000000000003</c:v>
                </c:pt>
                <c:pt idx="3">
                  <c:v>0.21</c:v>
                </c:pt>
              </c:numCache>
            </c:numRef>
          </c:val>
        </c:ser>
        <c:ser>
          <c:idx val="1"/>
          <c:order val="1"/>
          <c:tx>
            <c:strRef>
              <c:f>Sheet1!$B$4</c:f>
              <c:strCache>
                <c:ptCount val="1"/>
                <c:pt idx="0">
                  <c:v>Fairly satisfied</c:v>
                </c:pt>
              </c:strCache>
            </c:strRef>
          </c:tx>
          <c:invertIfNegative val="0"/>
          <c:cat>
            <c:strRef>
              <c:f>Sheet1!$C$2:$F$2</c:f>
              <c:strCache>
                <c:ptCount val="4"/>
                <c:pt idx="0">
                  <c:v>Total</c:v>
                </c:pt>
                <c:pt idx="1">
                  <c:v>Officers</c:v>
                </c:pt>
                <c:pt idx="2">
                  <c:v>Frontbench councillors</c:v>
                </c:pt>
                <c:pt idx="3">
                  <c:v>Backbench councillors</c:v>
                </c:pt>
              </c:strCache>
            </c:strRef>
          </c:cat>
          <c:val>
            <c:numRef>
              <c:f>Sheet1!$C$4:$F$4</c:f>
              <c:numCache>
                <c:formatCode>0%</c:formatCode>
                <c:ptCount val="4"/>
                <c:pt idx="0">
                  <c:v>0.54</c:v>
                </c:pt>
                <c:pt idx="1">
                  <c:v>0.5</c:v>
                </c:pt>
                <c:pt idx="2">
                  <c:v>0.57999999999999996</c:v>
                </c:pt>
                <c:pt idx="3">
                  <c:v>0.54</c:v>
                </c:pt>
              </c:numCache>
            </c:numRef>
          </c:val>
        </c:ser>
        <c:ser>
          <c:idx val="2"/>
          <c:order val="2"/>
          <c:tx>
            <c:strRef>
              <c:f>Sheet1!$B$5</c:f>
              <c:strCache>
                <c:ptCount val="1"/>
                <c:pt idx="0">
                  <c:v>Neither statisfied nor dissatisfied</c:v>
                </c:pt>
              </c:strCache>
            </c:strRef>
          </c:tx>
          <c:invertIfNegative val="0"/>
          <c:cat>
            <c:strRef>
              <c:f>Sheet1!$C$2:$F$2</c:f>
              <c:strCache>
                <c:ptCount val="4"/>
                <c:pt idx="0">
                  <c:v>Total</c:v>
                </c:pt>
                <c:pt idx="1">
                  <c:v>Officers</c:v>
                </c:pt>
                <c:pt idx="2">
                  <c:v>Frontbench councillors</c:v>
                </c:pt>
                <c:pt idx="3">
                  <c:v>Backbench councillors</c:v>
                </c:pt>
              </c:strCache>
            </c:strRef>
          </c:cat>
          <c:val>
            <c:numRef>
              <c:f>Sheet1!$C$5:$F$5</c:f>
              <c:numCache>
                <c:formatCode>0%</c:formatCode>
                <c:ptCount val="4"/>
                <c:pt idx="0">
                  <c:v>0.11</c:v>
                </c:pt>
                <c:pt idx="1">
                  <c:v>0.11</c:v>
                </c:pt>
                <c:pt idx="2">
                  <c:v>0.11</c:v>
                </c:pt>
                <c:pt idx="3">
                  <c:v>0.11</c:v>
                </c:pt>
              </c:numCache>
            </c:numRef>
          </c:val>
        </c:ser>
        <c:ser>
          <c:idx val="3"/>
          <c:order val="3"/>
          <c:tx>
            <c:strRef>
              <c:f>Sheet1!$B$6</c:f>
              <c:strCache>
                <c:ptCount val="1"/>
                <c:pt idx="0">
                  <c:v>Fairly dissatisfied</c:v>
                </c:pt>
              </c:strCache>
            </c:strRef>
          </c:tx>
          <c:invertIfNegative val="0"/>
          <c:dLbls>
            <c:dLbl>
              <c:idx val="3"/>
              <c:delete val="1"/>
            </c:dLbl>
            <c:showLegendKey val="0"/>
            <c:showVal val="1"/>
            <c:showCatName val="0"/>
            <c:showSerName val="0"/>
            <c:showPercent val="0"/>
            <c:showBubbleSize val="0"/>
            <c:showLeaderLines val="0"/>
          </c:dLbls>
          <c:cat>
            <c:strRef>
              <c:f>Sheet1!$C$2:$F$2</c:f>
              <c:strCache>
                <c:ptCount val="4"/>
                <c:pt idx="0">
                  <c:v>Total</c:v>
                </c:pt>
                <c:pt idx="1">
                  <c:v>Officers</c:v>
                </c:pt>
                <c:pt idx="2">
                  <c:v>Frontbench councillors</c:v>
                </c:pt>
                <c:pt idx="3">
                  <c:v>Backbench councillors</c:v>
                </c:pt>
              </c:strCache>
            </c:strRef>
          </c:cat>
          <c:val>
            <c:numRef>
              <c:f>Sheet1!$C$6:$F$6</c:f>
              <c:numCache>
                <c:formatCode>0%</c:formatCode>
                <c:ptCount val="4"/>
                <c:pt idx="0">
                  <c:v>0.02</c:v>
                </c:pt>
                <c:pt idx="1">
                  <c:v>0.03</c:v>
                </c:pt>
                <c:pt idx="2">
                  <c:v>0</c:v>
                </c:pt>
                <c:pt idx="3">
                  <c:v>0.03</c:v>
                </c:pt>
              </c:numCache>
            </c:numRef>
          </c:val>
        </c:ser>
        <c:ser>
          <c:idx val="4"/>
          <c:order val="4"/>
          <c:tx>
            <c:strRef>
              <c:f>Sheet1!$B$7</c:f>
              <c:strCache>
                <c:ptCount val="1"/>
                <c:pt idx="0">
                  <c:v>Very dissatisfied</c:v>
                </c:pt>
              </c:strCache>
            </c:strRef>
          </c:tx>
          <c:invertIfNegative val="0"/>
          <c:dLbls>
            <c:dLbl>
              <c:idx val="3"/>
              <c:delete val="1"/>
            </c:dLbl>
            <c:showLegendKey val="0"/>
            <c:showVal val="1"/>
            <c:showCatName val="0"/>
            <c:showSerName val="0"/>
            <c:showPercent val="0"/>
            <c:showBubbleSize val="0"/>
            <c:showLeaderLines val="0"/>
          </c:dLbls>
          <c:cat>
            <c:strRef>
              <c:f>Sheet1!$C$2:$F$2</c:f>
              <c:strCache>
                <c:ptCount val="4"/>
                <c:pt idx="0">
                  <c:v>Total</c:v>
                </c:pt>
                <c:pt idx="1">
                  <c:v>Officers</c:v>
                </c:pt>
                <c:pt idx="2">
                  <c:v>Frontbench councillors</c:v>
                </c:pt>
                <c:pt idx="3">
                  <c:v>Backbench councillors</c:v>
                </c:pt>
              </c:strCache>
            </c:strRef>
          </c:cat>
          <c:val>
            <c:numRef>
              <c:f>Sheet1!$C$7:$F$7</c:f>
              <c:numCache>
                <c:formatCode>0%</c:formatCode>
                <c:ptCount val="4"/>
                <c:pt idx="0">
                  <c:v>0.02</c:v>
                </c:pt>
                <c:pt idx="1">
                  <c:v>0.05</c:v>
                </c:pt>
                <c:pt idx="2">
                  <c:v>0</c:v>
                </c:pt>
                <c:pt idx="3">
                  <c:v>0.01</c:v>
                </c:pt>
              </c:numCache>
            </c:numRef>
          </c:val>
        </c:ser>
        <c:ser>
          <c:idx val="5"/>
          <c:order val="5"/>
          <c:tx>
            <c:strRef>
              <c:f>Sheet1!$B$8</c:f>
              <c:strCache>
                <c:ptCount val="1"/>
                <c:pt idx="0">
                  <c:v>Don't know</c:v>
                </c:pt>
              </c:strCache>
            </c:strRef>
          </c:tx>
          <c:invertIfNegative val="0"/>
          <c:cat>
            <c:strRef>
              <c:f>Sheet1!$C$2:$F$2</c:f>
              <c:strCache>
                <c:ptCount val="4"/>
                <c:pt idx="0">
                  <c:v>Total</c:v>
                </c:pt>
                <c:pt idx="1">
                  <c:v>Officers</c:v>
                </c:pt>
                <c:pt idx="2">
                  <c:v>Frontbench councillors</c:v>
                </c:pt>
                <c:pt idx="3">
                  <c:v>Backbench councillors</c:v>
                </c:pt>
              </c:strCache>
            </c:strRef>
          </c:cat>
          <c:val>
            <c:numRef>
              <c:f>Sheet1!$C$8:$F$8</c:f>
              <c:numCache>
                <c:formatCode>0%</c:formatCode>
                <c:ptCount val="4"/>
                <c:pt idx="0">
                  <c:v>7.0000000000000007E-2</c:v>
                </c:pt>
                <c:pt idx="1">
                  <c:v>0.05</c:v>
                </c:pt>
                <c:pt idx="2">
                  <c:v>0.03</c:v>
                </c:pt>
                <c:pt idx="3">
                  <c:v>0.1</c:v>
                </c:pt>
              </c:numCache>
            </c:numRef>
          </c:val>
        </c:ser>
        <c:dLbls>
          <c:showLegendKey val="0"/>
          <c:showVal val="1"/>
          <c:showCatName val="0"/>
          <c:showSerName val="0"/>
          <c:showPercent val="0"/>
          <c:showBubbleSize val="0"/>
        </c:dLbls>
        <c:gapWidth val="40"/>
        <c:overlap val="100"/>
        <c:axId val="58828288"/>
        <c:axId val="58829824"/>
      </c:barChart>
      <c:catAx>
        <c:axId val="58828288"/>
        <c:scaling>
          <c:orientation val="maxMin"/>
        </c:scaling>
        <c:delete val="0"/>
        <c:axPos val="l"/>
        <c:numFmt formatCode="General" sourceLinked="1"/>
        <c:majorTickMark val="none"/>
        <c:minorTickMark val="none"/>
        <c:tickLblPos val="low"/>
        <c:crossAx val="58829824"/>
        <c:crosses val="autoZero"/>
        <c:auto val="1"/>
        <c:lblAlgn val="ctr"/>
        <c:lblOffset val="100"/>
        <c:noMultiLvlLbl val="0"/>
      </c:catAx>
      <c:valAx>
        <c:axId val="58829824"/>
        <c:scaling>
          <c:orientation val="minMax"/>
        </c:scaling>
        <c:delete val="1"/>
        <c:axPos val="b"/>
        <c:numFmt formatCode="0%" sourceLinked="1"/>
        <c:majorTickMark val="none"/>
        <c:minorTickMark val="none"/>
        <c:tickLblPos val="none"/>
        <c:crossAx val="58828288"/>
        <c:crosses val="max"/>
        <c:crossBetween val="between"/>
      </c:valAx>
    </c:plotArea>
    <c:legend>
      <c:legendPos val="b"/>
      <c:layout/>
      <c:overlay val="0"/>
    </c:legend>
    <c:plotVisOnly val="1"/>
    <c:dispBlanksAs val="gap"/>
    <c:showDLblsOverMax val="0"/>
  </c:chart>
  <c:spPr>
    <a:ln>
      <a:noFill/>
    </a:ln>
  </c:spPr>
  <c:txPr>
    <a:bodyPr/>
    <a:lstStyle/>
    <a:p>
      <a:pPr>
        <a:defRPr sz="1100">
          <a:effectLst>
            <a:glow rad="101600">
              <a:schemeClr val="bg1">
                <a:alpha val="60000"/>
              </a:schemeClr>
            </a:glow>
          </a:effectLst>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Sheet1!$A$40</c:f>
              <c:strCache>
                <c:ptCount val="1"/>
                <c:pt idx="0">
                  <c:v>I speak negatively about the Local Government Association without being asked</c:v>
                </c:pt>
              </c:strCache>
            </c:strRef>
          </c:tx>
          <c:invertIfNegative val="0"/>
          <c:dLbls>
            <c:dLbl>
              <c:idx val="0"/>
              <c:layout/>
              <c:tx>
                <c:rich>
                  <a:bodyPr/>
                  <a:lstStyle/>
                  <a:p>
                    <a:r>
                      <a:rPr lang="en-US"/>
                      <a:t>*%</a:t>
                    </a:r>
                  </a:p>
                </c:rich>
              </c:tx>
              <c:showLegendKey val="0"/>
              <c:showVal val="1"/>
              <c:showCatName val="0"/>
              <c:showSerName val="0"/>
              <c:showPercent val="0"/>
              <c:showBubbleSize val="0"/>
            </c:dLbl>
            <c:dLbl>
              <c:idx val="3"/>
              <c:layout>
                <c:manualLayout>
                  <c:x val="-2.1893814997263343E-3"/>
                  <c:y val="7.5191916799873734E-3"/>
                </c:manualLayout>
              </c:layout>
              <c:tx>
                <c:rich>
                  <a:bodyPr/>
                  <a:lstStyle/>
                  <a:p>
                    <a:r>
                      <a:rPr lang="en-US"/>
                      <a:t>*%</a:t>
                    </a:r>
                  </a:p>
                </c:rich>
              </c:tx>
              <c:showLegendKey val="0"/>
              <c:showVal val="1"/>
              <c:showCatName val="0"/>
              <c:showSerName val="0"/>
              <c:showPercent val="0"/>
              <c:showBubbleSize val="0"/>
            </c:dLbl>
            <c:dLbl>
              <c:idx val="4"/>
              <c:layout>
                <c:manualLayout>
                  <c:x val="0"/>
                  <c:y val="7.5187969924812139E-3"/>
                </c:manualLayout>
              </c:layout>
              <c:showLegendKey val="0"/>
              <c:showVal val="1"/>
              <c:showCatName val="0"/>
              <c:showSerName val="0"/>
              <c:showPercent val="0"/>
              <c:showBubbleSize val="0"/>
            </c:dLbl>
            <c:dLbl>
              <c:idx val="5"/>
              <c:delete val="1"/>
            </c:dLbl>
            <c:dLbl>
              <c:idx val="6"/>
              <c:delete val="1"/>
            </c:dLbl>
            <c:dLbl>
              <c:idx val="7"/>
              <c:layout/>
              <c:tx>
                <c:rich>
                  <a:bodyPr/>
                  <a:lstStyle/>
                  <a:p>
                    <a:r>
                      <a:rPr lang="en-US"/>
                      <a:t>*%</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Sheet1!$B$39:$I$39</c:f>
              <c:strCache>
                <c:ptCount val="8"/>
                <c:pt idx="0">
                  <c:v>2013 (917)</c:v>
                </c:pt>
                <c:pt idx="1">
                  <c:v>2012 (937)</c:v>
                </c:pt>
                <c:pt idx="2">
                  <c:v>Chief Executives (87)</c:v>
                </c:pt>
                <c:pt idx="3">
                  <c:v>Directors (238)</c:v>
                </c:pt>
                <c:pt idx="4">
                  <c:v>Leaders (81)</c:v>
                </c:pt>
                <c:pt idx="5">
                  <c:v>Chair of Scrutiny (101)</c:v>
                </c:pt>
                <c:pt idx="6">
                  <c:v>Portfolio holders (99)</c:v>
                </c:pt>
                <c:pt idx="7">
                  <c:v>Backbenchers (311)</c:v>
                </c:pt>
              </c:strCache>
            </c:strRef>
          </c:cat>
          <c:val>
            <c:numRef>
              <c:f>Sheet1!$B$40:$I$40</c:f>
              <c:numCache>
                <c:formatCode>0%</c:formatCode>
                <c:ptCount val="8"/>
                <c:pt idx="0">
                  <c:v>3.0000000000000044E-3</c:v>
                </c:pt>
                <c:pt idx="1">
                  <c:v>1.0000000000000005E-2</c:v>
                </c:pt>
                <c:pt idx="2">
                  <c:v>1.0000000000000005E-2</c:v>
                </c:pt>
                <c:pt idx="3">
                  <c:v>3.0000000000000044E-3</c:v>
                </c:pt>
                <c:pt idx="4">
                  <c:v>1.0000000000000005E-2</c:v>
                </c:pt>
                <c:pt idx="5">
                  <c:v>0</c:v>
                </c:pt>
                <c:pt idx="6">
                  <c:v>0</c:v>
                </c:pt>
                <c:pt idx="7">
                  <c:v>3.0000000000000044E-3</c:v>
                </c:pt>
              </c:numCache>
            </c:numRef>
          </c:val>
        </c:ser>
        <c:ser>
          <c:idx val="1"/>
          <c:order val="1"/>
          <c:tx>
            <c:strRef>
              <c:f>Sheet1!$A$41</c:f>
              <c:strCache>
                <c:ptCount val="1"/>
                <c:pt idx="0">
                  <c:v>I speak negatively about the Local Government Association if I am asked about it </c:v>
                </c:pt>
              </c:strCache>
            </c:strRef>
          </c:tx>
          <c:invertIfNegative val="0"/>
          <c:dPt>
            <c:idx val="1"/>
            <c:invertIfNegative val="0"/>
            <c:bubble3D val="0"/>
            <c:spPr>
              <a:solidFill>
                <a:srgbClr val="C0504D">
                  <a:lumMod val="60000"/>
                  <a:lumOff val="40000"/>
                </a:srgbClr>
              </a:solidFill>
            </c:spPr>
          </c:dPt>
          <c:dLbls>
            <c:dLbl>
              <c:idx val="3"/>
              <c:layout>
                <c:manualLayout>
                  <c:x val="8.7575259989053269E-3"/>
                  <c:y val="-7.5187969924812139E-3"/>
                </c:manualLayout>
              </c:layout>
              <c:showLegendKey val="0"/>
              <c:showVal val="1"/>
              <c:showCatName val="0"/>
              <c:showSerName val="0"/>
              <c:showPercent val="0"/>
              <c:showBubbleSize val="0"/>
            </c:dLbl>
            <c:dLbl>
              <c:idx val="4"/>
              <c:layout>
                <c:manualLayout>
                  <c:x val="2.1893814997263335E-3"/>
                  <c:y val="-2.2556390977443611E-2"/>
                </c:manualLayout>
              </c:layout>
              <c:showLegendKey val="0"/>
              <c:showVal val="1"/>
              <c:showCatName val="0"/>
              <c:showSerName val="0"/>
              <c:showPercent val="0"/>
              <c:showBubbleSize val="0"/>
            </c:dLbl>
            <c:dLbl>
              <c:idx val="7"/>
              <c:layout>
                <c:manualLayout>
                  <c:x val="1.3136288998357963E-2"/>
                  <c:y val="9.1895346103002475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Sheet1!$B$39:$I$39</c:f>
              <c:strCache>
                <c:ptCount val="8"/>
                <c:pt idx="0">
                  <c:v>2013 (917)</c:v>
                </c:pt>
                <c:pt idx="1">
                  <c:v>2012 (937)</c:v>
                </c:pt>
                <c:pt idx="2">
                  <c:v>Chief Executives (87)</c:v>
                </c:pt>
                <c:pt idx="3">
                  <c:v>Directors (238)</c:v>
                </c:pt>
                <c:pt idx="4">
                  <c:v>Leaders (81)</c:v>
                </c:pt>
                <c:pt idx="5">
                  <c:v>Chair of Scrutiny (101)</c:v>
                </c:pt>
                <c:pt idx="6">
                  <c:v>Portfolio holders (99)</c:v>
                </c:pt>
                <c:pt idx="7">
                  <c:v>Backbenchers (311)</c:v>
                </c:pt>
              </c:strCache>
            </c:strRef>
          </c:cat>
          <c:val>
            <c:numRef>
              <c:f>Sheet1!$B$41:$I$41</c:f>
              <c:numCache>
                <c:formatCode>0%</c:formatCode>
                <c:ptCount val="8"/>
                <c:pt idx="0">
                  <c:v>3.0000000000000002E-2</c:v>
                </c:pt>
                <c:pt idx="1">
                  <c:v>4.0000000000000022E-2</c:v>
                </c:pt>
                <c:pt idx="2">
                  <c:v>6.0000000000000032E-2</c:v>
                </c:pt>
                <c:pt idx="3">
                  <c:v>3.0000000000000002E-2</c:v>
                </c:pt>
                <c:pt idx="4">
                  <c:v>2.0000000000000011E-2</c:v>
                </c:pt>
                <c:pt idx="5">
                  <c:v>4.0000000000000022E-2</c:v>
                </c:pt>
                <c:pt idx="6">
                  <c:v>4.0000000000000022E-2</c:v>
                </c:pt>
                <c:pt idx="7">
                  <c:v>2.0000000000000011E-2</c:v>
                </c:pt>
              </c:numCache>
            </c:numRef>
          </c:val>
        </c:ser>
        <c:ser>
          <c:idx val="2"/>
          <c:order val="2"/>
          <c:tx>
            <c:strRef>
              <c:f>Sheet1!$A$42</c:f>
              <c:strCache>
                <c:ptCount val="1"/>
                <c:pt idx="0">
                  <c:v>I have no views one way or another</c:v>
                </c:pt>
              </c:strCache>
            </c:strRef>
          </c:tx>
          <c:invertIfNegative val="0"/>
          <c:dPt>
            <c:idx val="1"/>
            <c:invertIfNegative val="0"/>
            <c:bubble3D val="0"/>
            <c:spPr>
              <a:solidFill>
                <a:srgbClr val="9BBB59">
                  <a:lumMod val="60000"/>
                  <a:lumOff val="40000"/>
                </a:srgbClr>
              </a:solidFill>
            </c:spPr>
          </c:dPt>
          <c:cat>
            <c:strRef>
              <c:f>Sheet1!$B$39:$I$39</c:f>
              <c:strCache>
                <c:ptCount val="8"/>
                <c:pt idx="0">
                  <c:v>2013 (917)</c:v>
                </c:pt>
                <c:pt idx="1">
                  <c:v>2012 (937)</c:v>
                </c:pt>
                <c:pt idx="2">
                  <c:v>Chief Executives (87)</c:v>
                </c:pt>
                <c:pt idx="3">
                  <c:v>Directors (238)</c:v>
                </c:pt>
                <c:pt idx="4">
                  <c:v>Leaders (81)</c:v>
                </c:pt>
                <c:pt idx="5">
                  <c:v>Chair of Scrutiny (101)</c:v>
                </c:pt>
                <c:pt idx="6">
                  <c:v>Portfolio holders (99)</c:v>
                </c:pt>
                <c:pt idx="7">
                  <c:v>Backbenchers (311)</c:v>
                </c:pt>
              </c:strCache>
            </c:strRef>
          </c:cat>
          <c:val>
            <c:numRef>
              <c:f>Sheet1!$B$42:$I$42</c:f>
              <c:numCache>
                <c:formatCode>0%</c:formatCode>
                <c:ptCount val="8"/>
                <c:pt idx="0">
                  <c:v>0.23</c:v>
                </c:pt>
                <c:pt idx="1">
                  <c:v>0.32000000000000056</c:v>
                </c:pt>
                <c:pt idx="2">
                  <c:v>7.0000000000000021E-2</c:v>
                </c:pt>
                <c:pt idx="3">
                  <c:v>0.2</c:v>
                </c:pt>
                <c:pt idx="4">
                  <c:v>0.12000000000000002</c:v>
                </c:pt>
                <c:pt idx="5">
                  <c:v>0.26</c:v>
                </c:pt>
                <c:pt idx="6">
                  <c:v>0.2</c:v>
                </c:pt>
                <c:pt idx="7">
                  <c:v>0.33000000000000063</c:v>
                </c:pt>
              </c:numCache>
            </c:numRef>
          </c:val>
        </c:ser>
        <c:ser>
          <c:idx val="3"/>
          <c:order val="3"/>
          <c:tx>
            <c:strRef>
              <c:f>Sheet1!$A$43</c:f>
              <c:strCache>
                <c:ptCount val="1"/>
                <c:pt idx="0">
                  <c:v>I speak positively about the Local Government Association if I am asked about it</c:v>
                </c:pt>
              </c:strCache>
            </c:strRef>
          </c:tx>
          <c:invertIfNegative val="0"/>
          <c:dPt>
            <c:idx val="1"/>
            <c:invertIfNegative val="0"/>
            <c:bubble3D val="0"/>
            <c:spPr>
              <a:solidFill>
                <a:srgbClr val="8064A2">
                  <a:lumMod val="60000"/>
                  <a:lumOff val="40000"/>
                </a:srgbClr>
              </a:solidFill>
            </c:spPr>
          </c:dPt>
          <c:cat>
            <c:strRef>
              <c:f>Sheet1!$B$39:$I$39</c:f>
              <c:strCache>
                <c:ptCount val="8"/>
                <c:pt idx="0">
                  <c:v>2013 (917)</c:v>
                </c:pt>
                <c:pt idx="1">
                  <c:v>2012 (937)</c:v>
                </c:pt>
                <c:pt idx="2">
                  <c:v>Chief Executives (87)</c:v>
                </c:pt>
                <c:pt idx="3">
                  <c:v>Directors (238)</c:v>
                </c:pt>
                <c:pt idx="4">
                  <c:v>Leaders (81)</c:v>
                </c:pt>
                <c:pt idx="5">
                  <c:v>Chair of Scrutiny (101)</c:v>
                </c:pt>
                <c:pt idx="6">
                  <c:v>Portfolio holders (99)</c:v>
                </c:pt>
                <c:pt idx="7">
                  <c:v>Backbenchers (311)</c:v>
                </c:pt>
              </c:strCache>
            </c:strRef>
          </c:cat>
          <c:val>
            <c:numRef>
              <c:f>Sheet1!$B$43:$I$43</c:f>
              <c:numCache>
                <c:formatCode>0%</c:formatCode>
                <c:ptCount val="8"/>
                <c:pt idx="0">
                  <c:v>0.52</c:v>
                </c:pt>
                <c:pt idx="1">
                  <c:v>0.48000000000000032</c:v>
                </c:pt>
                <c:pt idx="2">
                  <c:v>0.52</c:v>
                </c:pt>
                <c:pt idx="3">
                  <c:v>0.60000000000000064</c:v>
                </c:pt>
                <c:pt idx="4">
                  <c:v>0.48000000000000032</c:v>
                </c:pt>
                <c:pt idx="5">
                  <c:v>0.5</c:v>
                </c:pt>
                <c:pt idx="6">
                  <c:v>0.61000000000000065</c:v>
                </c:pt>
                <c:pt idx="7">
                  <c:v>0.46</c:v>
                </c:pt>
              </c:numCache>
            </c:numRef>
          </c:val>
        </c:ser>
        <c:ser>
          <c:idx val="4"/>
          <c:order val="4"/>
          <c:tx>
            <c:strRef>
              <c:f>Sheet1!$A$44</c:f>
              <c:strCache>
                <c:ptCount val="1"/>
                <c:pt idx="0">
                  <c:v>I speak positively about the Local Government Association without being asked </c:v>
                </c:pt>
              </c:strCache>
            </c:strRef>
          </c:tx>
          <c:invertIfNegative val="0"/>
          <c:dPt>
            <c:idx val="1"/>
            <c:invertIfNegative val="0"/>
            <c:bubble3D val="0"/>
            <c:spPr>
              <a:solidFill>
                <a:srgbClr val="4BACC6">
                  <a:lumMod val="60000"/>
                  <a:lumOff val="40000"/>
                </a:srgbClr>
              </a:solidFill>
            </c:spPr>
          </c:dPt>
          <c:cat>
            <c:strRef>
              <c:f>Sheet1!$B$39:$I$39</c:f>
              <c:strCache>
                <c:ptCount val="8"/>
                <c:pt idx="0">
                  <c:v>2013 (917)</c:v>
                </c:pt>
                <c:pt idx="1">
                  <c:v>2012 (937)</c:v>
                </c:pt>
                <c:pt idx="2">
                  <c:v>Chief Executives (87)</c:v>
                </c:pt>
                <c:pt idx="3">
                  <c:v>Directors (238)</c:v>
                </c:pt>
                <c:pt idx="4">
                  <c:v>Leaders (81)</c:v>
                </c:pt>
                <c:pt idx="5">
                  <c:v>Chair of Scrutiny (101)</c:v>
                </c:pt>
                <c:pt idx="6">
                  <c:v>Portfolio holders (99)</c:v>
                </c:pt>
                <c:pt idx="7">
                  <c:v>Backbenchers (311)</c:v>
                </c:pt>
              </c:strCache>
            </c:strRef>
          </c:cat>
          <c:val>
            <c:numRef>
              <c:f>Sheet1!$B$44:$I$44</c:f>
              <c:numCache>
                <c:formatCode>0%</c:formatCode>
                <c:ptCount val="8"/>
                <c:pt idx="0">
                  <c:v>0.2</c:v>
                </c:pt>
                <c:pt idx="1">
                  <c:v>0.15000000000000024</c:v>
                </c:pt>
                <c:pt idx="2">
                  <c:v>0.34</c:v>
                </c:pt>
                <c:pt idx="3">
                  <c:v>0.16</c:v>
                </c:pt>
                <c:pt idx="4">
                  <c:v>0.36000000000000032</c:v>
                </c:pt>
                <c:pt idx="5">
                  <c:v>0.19</c:v>
                </c:pt>
                <c:pt idx="6">
                  <c:v>0.15000000000000024</c:v>
                </c:pt>
                <c:pt idx="7">
                  <c:v>0.18000000000000024</c:v>
                </c:pt>
              </c:numCache>
            </c:numRef>
          </c:val>
        </c:ser>
        <c:dLbls>
          <c:showLegendKey val="0"/>
          <c:showVal val="1"/>
          <c:showCatName val="0"/>
          <c:showSerName val="0"/>
          <c:showPercent val="0"/>
          <c:showBubbleSize val="0"/>
        </c:dLbls>
        <c:gapWidth val="40"/>
        <c:overlap val="100"/>
        <c:axId val="54402432"/>
        <c:axId val="54797440"/>
      </c:barChart>
      <c:catAx>
        <c:axId val="54402432"/>
        <c:scaling>
          <c:orientation val="maxMin"/>
        </c:scaling>
        <c:delete val="0"/>
        <c:axPos val="l"/>
        <c:majorTickMark val="none"/>
        <c:minorTickMark val="none"/>
        <c:tickLblPos val="low"/>
        <c:crossAx val="54797440"/>
        <c:crosses val="autoZero"/>
        <c:auto val="1"/>
        <c:lblAlgn val="ctr"/>
        <c:lblOffset val="100"/>
        <c:noMultiLvlLbl val="0"/>
      </c:catAx>
      <c:valAx>
        <c:axId val="54797440"/>
        <c:scaling>
          <c:orientation val="minMax"/>
        </c:scaling>
        <c:delete val="1"/>
        <c:axPos val="b"/>
        <c:numFmt formatCode="0%" sourceLinked="1"/>
        <c:majorTickMark val="none"/>
        <c:minorTickMark val="none"/>
        <c:tickLblPos val="none"/>
        <c:crossAx val="54402432"/>
        <c:crosses val="max"/>
        <c:crossBetween val="between"/>
      </c:valAx>
    </c:plotArea>
    <c:legend>
      <c:legendPos val="b"/>
      <c:layout/>
      <c:overlay val="0"/>
    </c:legend>
    <c:plotVisOnly val="1"/>
    <c:dispBlanksAs val="gap"/>
    <c:showDLblsOverMax val="0"/>
  </c:chart>
  <c:spPr>
    <a:ln>
      <a:noFill/>
    </a:ln>
  </c:spPr>
  <c:txPr>
    <a:bodyPr/>
    <a:lstStyle/>
    <a:p>
      <a:pPr>
        <a:defRPr sz="1100">
          <a:effectLst>
            <a:glow rad="101600">
              <a:schemeClr val="bg1">
                <a:alpha val="60000"/>
              </a:schemeClr>
            </a:glow>
          </a:effectLst>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Sheet1!$A$68</c:f>
              <c:strCache>
                <c:ptCount val="1"/>
                <c:pt idx="0">
                  <c:v>Very dissatisfied</c:v>
                </c:pt>
              </c:strCache>
            </c:strRef>
          </c:tx>
          <c:invertIfNegative val="0"/>
          <c:dLbls>
            <c:dLbl>
              <c:idx val="1"/>
              <c:layout/>
              <c:tx>
                <c:rich>
                  <a:bodyPr/>
                  <a:lstStyle/>
                  <a:p>
                    <a:r>
                      <a:rPr lang="en-US"/>
                      <a:t>*%</a:t>
                    </a:r>
                  </a:p>
                </c:rich>
              </c:tx>
              <c:showLegendKey val="0"/>
              <c:showVal val="1"/>
              <c:showCatName val="0"/>
              <c:showSerName val="0"/>
              <c:showPercent val="0"/>
              <c:showBubbleSize val="0"/>
            </c:dLbl>
            <c:dLbl>
              <c:idx val="2"/>
              <c:delete val="1"/>
            </c:dLbl>
            <c:showLegendKey val="0"/>
            <c:showVal val="1"/>
            <c:showCatName val="0"/>
            <c:showSerName val="0"/>
            <c:showPercent val="0"/>
            <c:showBubbleSize val="0"/>
            <c:showLeaderLines val="0"/>
          </c:dLbls>
          <c:cat>
            <c:strRef>
              <c:f>Sheet1!$B$67:$I$67</c:f>
              <c:strCache>
                <c:ptCount val="8"/>
                <c:pt idx="0">
                  <c:v>2013 (917)</c:v>
                </c:pt>
                <c:pt idx="1">
                  <c:v>2012 (937)</c:v>
                </c:pt>
                <c:pt idx="2">
                  <c:v>Chief Executives (87)</c:v>
                </c:pt>
                <c:pt idx="3">
                  <c:v>Directors (238)</c:v>
                </c:pt>
                <c:pt idx="4">
                  <c:v>Leaders (81)</c:v>
                </c:pt>
                <c:pt idx="5">
                  <c:v>Chair of Scrutiny (101)</c:v>
                </c:pt>
                <c:pt idx="6">
                  <c:v>Portfolio holders (99)</c:v>
                </c:pt>
                <c:pt idx="7">
                  <c:v>Backbenchers (311)</c:v>
                </c:pt>
              </c:strCache>
            </c:strRef>
          </c:cat>
          <c:val>
            <c:numRef>
              <c:f>Sheet1!$B$68:$I$68</c:f>
              <c:numCache>
                <c:formatCode>0%</c:formatCode>
                <c:ptCount val="8"/>
                <c:pt idx="0">
                  <c:v>2.0000000000000011E-2</c:v>
                </c:pt>
                <c:pt idx="1">
                  <c:v>3.0000000000000044E-3</c:v>
                </c:pt>
                <c:pt idx="2">
                  <c:v>0</c:v>
                </c:pt>
                <c:pt idx="3">
                  <c:v>2.0000000000000011E-2</c:v>
                </c:pt>
                <c:pt idx="4">
                  <c:v>2.0000000000000011E-2</c:v>
                </c:pt>
                <c:pt idx="5">
                  <c:v>2.0000000000000011E-2</c:v>
                </c:pt>
                <c:pt idx="6">
                  <c:v>4.0000000000000022E-2</c:v>
                </c:pt>
                <c:pt idx="7">
                  <c:v>1.0000000000000005E-2</c:v>
                </c:pt>
              </c:numCache>
            </c:numRef>
          </c:val>
        </c:ser>
        <c:ser>
          <c:idx val="1"/>
          <c:order val="1"/>
          <c:tx>
            <c:strRef>
              <c:f>Sheet1!$A$69</c:f>
              <c:strCache>
                <c:ptCount val="1"/>
                <c:pt idx="0">
                  <c:v>Fairly dissatisfied</c:v>
                </c:pt>
              </c:strCache>
            </c:strRef>
          </c:tx>
          <c:invertIfNegative val="0"/>
          <c:dPt>
            <c:idx val="1"/>
            <c:invertIfNegative val="0"/>
            <c:bubble3D val="0"/>
            <c:spPr>
              <a:solidFill>
                <a:srgbClr val="C0504D">
                  <a:lumMod val="60000"/>
                  <a:lumOff val="40000"/>
                </a:srgbClr>
              </a:solidFill>
            </c:spPr>
          </c:dPt>
          <c:cat>
            <c:strRef>
              <c:f>Sheet1!$B$67:$I$67</c:f>
              <c:strCache>
                <c:ptCount val="8"/>
                <c:pt idx="0">
                  <c:v>2013 (917)</c:v>
                </c:pt>
                <c:pt idx="1">
                  <c:v>2012 (937)</c:v>
                </c:pt>
                <c:pt idx="2">
                  <c:v>Chief Executives (87)</c:v>
                </c:pt>
                <c:pt idx="3">
                  <c:v>Directors (238)</c:v>
                </c:pt>
                <c:pt idx="4">
                  <c:v>Leaders (81)</c:v>
                </c:pt>
                <c:pt idx="5">
                  <c:v>Chair of Scrutiny (101)</c:v>
                </c:pt>
                <c:pt idx="6">
                  <c:v>Portfolio holders (99)</c:v>
                </c:pt>
                <c:pt idx="7">
                  <c:v>Backbenchers (311)</c:v>
                </c:pt>
              </c:strCache>
            </c:strRef>
          </c:cat>
          <c:val>
            <c:numRef>
              <c:f>Sheet1!$B$69:$I$69</c:f>
              <c:numCache>
                <c:formatCode>0%</c:formatCode>
                <c:ptCount val="8"/>
                <c:pt idx="0">
                  <c:v>6.0000000000000032E-2</c:v>
                </c:pt>
                <c:pt idx="1">
                  <c:v>6.0000000000000032E-2</c:v>
                </c:pt>
                <c:pt idx="2">
                  <c:v>0.11</c:v>
                </c:pt>
                <c:pt idx="3">
                  <c:v>0.05</c:v>
                </c:pt>
                <c:pt idx="4">
                  <c:v>7.0000000000000021E-2</c:v>
                </c:pt>
                <c:pt idx="5">
                  <c:v>8.0000000000000043E-2</c:v>
                </c:pt>
                <c:pt idx="6">
                  <c:v>4.0000000000000022E-2</c:v>
                </c:pt>
                <c:pt idx="7">
                  <c:v>4.0000000000000022E-2</c:v>
                </c:pt>
              </c:numCache>
            </c:numRef>
          </c:val>
        </c:ser>
        <c:ser>
          <c:idx val="2"/>
          <c:order val="2"/>
          <c:tx>
            <c:strRef>
              <c:f>Sheet1!$A$70</c:f>
              <c:strCache>
                <c:ptCount val="1"/>
                <c:pt idx="0">
                  <c:v>Neither satisfied nor dissatisfied</c:v>
                </c:pt>
              </c:strCache>
            </c:strRef>
          </c:tx>
          <c:invertIfNegative val="0"/>
          <c:dPt>
            <c:idx val="1"/>
            <c:invertIfNegative val="0"/>
            <c:bubble3D val="0"/>
            <c:spPr>
              <a:solidFill>
                <a:srgbClr val="9BBB59">
                  <a:lumMod val="60000"/>
                  <a:lumOff val="40000"/>
                </a:srgbClr>
              </a:solidFill>
            </c:spPr>
          </c:dPt>
          <c:cat>
            <c:strRef>
              <c:f>Sheet1!$B$67:$I$67</c:f>
              <c:strCache>
                <c:ptCount val="8"/>
                <c:pt idx="0">
                  <c:v>2013 (917)</c:v>
                </c:pt>
                <c:pt idx="1">
                  <c:v>2012 (937)</c:v>
                </c:pt>
                <c:pt idx="2">
                  <c:v>Chief Executives (87)</c:v>
                </c:pt>
                <c:pt idx="3">
                  <c:v>Directors (238)</c:v>
                </c:pt>
                <c:pt idx="4">
                  <c:v>Leaders (81)</c:v>
                </c:pt>
                <c:pt idx="5">
                  <c:v>Chair of Scrutiny (101)</c:v>
                </c:pt>
                <c:pt idx="6">
                  <c:v>Portfolio holders (99)</c:v>
                </c:pt>
                <c:pt idx="7">
                  <c:v>Backbenchers (311)</c:v>
                </c:pt>
              </c:strCache>
            </c:strRef>
          </c:cat>
          <c:val>
            <c:numRef>
              <c:f>Sheet1!$B$70:$I$70</c:f>
              <c:numCache>
                <c:formatCode>0%</c:formatCode>
                <c:ptCount val="8"/>
                <c:pt idx="0">
                  <c:v>0.22</c:v>
                </c:pt>
                <c:pt idx="1">
                  <c:v>0.30000000000000032</c:v>
                </c:pt>
                <c:pt idx="2">
                  <c:v>8.0000000000000043E-2</c:v>
                </c:pt>
                <c:pt idx="3">
                  <c:v>0.19</c:v>
                </c:pt>
                <c:pt idx="4">
                  <c:v>0.1</c:v>
                </c:pt>
                <c:pt idx="5">
                  <c:v>0.23</c:v>
                </c:pt>
                <c:pt idx="6">
                  <c:v>0.28000000000000008</c:v>
                </c:pt>
                <c:pt idx="7">
                  <c:v>0.29000000000000031</c:v>
                </c:pt>
              </c:numCache>
            </c:numRef>
          </c:val>
        </c:ser>
        <c:ser>
          <c:idx val="3"/>
          <c:order val="3"/>
          <c:tx>
            <c:strRef>
              <c:f>Sheet1!$A$71</c:f>
              <c:strCache>
                <c:ptCount val="1"/>
                <c:pt idx="0">
                  <c:v>Fairly satisfied</c:v>
                </c:pt>
              </c:strCache>
            </c:strRef>
          </c:tx>
          <c:invertIfNegative val="0"/>
          <c:dPt>
            <c:idx val="1"/>
            <c:invertIfNegative val="0"/>
            <c:bubble3D val="0"/>
            <c:spPr>
              <a:solidFill>
                <a:srgbClr val="8064A2">
                  <a:lumMod val="60000"/>
                  <a:lumOff val="40000"/>
                </a:srgbClr>
              </a:solidFill>
            </c:spPr>
          </c:dPt>
          <c:cat>
            <c:strRef>
              <c:f>Sheet1!$B$67:$I$67</c:f>
              <c:strCache>
                <c:ptCount val="8"/>
                <c:pt idx="0">
                  <c:v>2013 (917)</c:v>
                </c:pt>
                <c:pt idx="1">
                  <c:v>2012 (937)</c:v>
                </c:pt>
                <c:pt idx="2">
                  <c:v>Chief Executives (87)</c:v>
                </c:pt>
                <c:pt idx="3">
                  <c:v>Directors (238)</c:v>
                </c:pt>
                <c:pt idx="4">
                  <c:v>Leaders (81)</c:v>
                </c:pt>
                <c:pt idx="5">
                  <c:v>Chair of Scrutiny (101)</c:v>
                </c:pt>
                <c:pt idx="6">
                  <c:v>Portfolio holders (99)</c:v>
                </c:pt>
                <c:pt idx="7">
                  <c:v>Backbenchers (311)</c:v>
                </c:pt>
              </c:strCache>
            </c:strRef>
          </c:cat>
          <c:val>
            <c:numRef>
              <c:f>Sheet1!$B$71:$I$71</c:f>
              <c:numCache>
                <c:formatCode>0%</c:formatCode>
                <c:ptCount val="8"/>
                <c:pt idx="0">
                  <c:v>0.54</c:v>
                </c:pt>
                <c:pt idx="1">
                  <c:v>0.5</c:v>
                </c:pt>
                <c:pt idx="2">
                  <c:v>0.59</c:v>
                </c:pt>
                <c:pt idx="3">
                  <c:v>0.62000000000000099</c:v>
                </c:pt>
                <c:pt idx="4">
                  <c:v>0.52</c:v>
                </c:pt>
                <c:pt idx="5">
                  <c:v>0.53</c:v>
                </c:pt>
                <c:pt idx="6">
                  <c:v>0.48000000000000032</c:v>
                </c:pt>
                <c:pt idx="7">
                  <c:v>0.5</c:v>
                </c:pt>
              </c:numCache>
            </c:numRef>
          </c:val>
        </c:ser>
        <c:ser>
          <c:idx val="4"/>
          <c:order val="4"/>
          <c:tx>
            <c:strRef>
              <c:f>Sheet1!$A$72</c:f>
              <c:strCache>
                <c:ptCount val="1"/>
                <c:pt idx="0">
                  <c:v>Very satisfied</c:v>
                </c:pt>
              </c:strCache>
            </c:strRef>
          </c:tx>
          <c:invertIfNegative val="0"/>
          <c:dPt>
            <c:idx val="1"/>
            <c:invertIfNegative val="0"/>
            <c:bubble3D val="0"/>
            <c:spPr>
              <a:solidFill>
                <a:srgbClr val="4BACC6">
                  <a:lumMod val="60000"/>
                  <a:lumOff val="40000"/>
                </a:srgbClr>
              </a:solidFill>
            </c:spPr>
          </c:dPt>
          <c:cat>
            <c:strRef>
              <c:f>Sheet1!$B$67:$I$67</c:f>
              <c:strCache>
                <c:ptCount val="8"/>
                <c:pt idx="0">
                  <c:v>2013 (917)</c:v>
                </c:pt>
                <c:pt idx="1">
                  <c:v>2012 (937)</c:v>
                </c:pt>
                <c:pt idx="2">
                  <c:v>Chief Executives (87)</c:v>
                </c:pt>
                <c:pt idx="3">
                  <c:v>Directors (238)</c:v>
                </c:pt>
                <c:pt idx="4">
                  <c:v>Leaders (81)</c:v>
                </c:pt>
                <c:pt idx="5">
                  <c:v>Chair of Scrutiny (101)</c:v>
                </c:pt>
                <c:pt idx="6">
                  <c:v>Portfolio holders (99)</c:v>
                </c:pt>
                <c:pt idx="7">
                  <c:v>Backbenchers (311)</c:v>
                </c:pt>
              </c:strCache>
            </c:strRef>
          </c:cat>
          <c:val>
            <c:numRef>
              <c:f>Sheet1!$B$72:$I$72</c:f>
              <c:numCache>
                <c:formatCode>0%</c:formatCode>
                <c:ptCount val="8"/>
                <c:pt idx="0">
                  <c:v>0.16</c:v>
                </c:pt>
                <c:pt idx="1">
                  <c:v>0.12000000000000002</c:v>
                </c:pt>
                <c:pt idx="2">
                  <c:v>0.22</c:v>
                </c:pt>
                <c:pt idx="3">
                  <c:v>0.12000000000000002</c:v>
                </c:pt>
                <c:pt idx="4">
                  <c:v>0.27</c:v>
                </c:pt>
                <c:pt idx="5">
                  <c:v>0.14000000000000001</c:v>
                </c:pt>
                <c:pt idx="6">
                  <c:v>0.14000000000000001</c:v>
                </c:pt>
                <c:pt idx="7">
                  <c:v>0.15000000000000024</c:v>
                </c:pt>
              </c:numCache>
            </c:numRef>
          </c:val>
        </c:ser>
        <c:dLbls>
          <c:showLegendKey val="0"/>
          <c:showVal val="1"/>
          <c:showCatName val="0"/>
          <c:showSerName val="0"/>
          <c:showPercent val="0"/>
          <c:showBubbleSize val="0"/>
        </c:dLbls>
        <c:gapWidth val="40"/>
        <c:overlap val="100"/>
        <c:axId val="55091200"/>
        <c:axId val="55092736"/>
      </c:barChart>
      <c:catAx>
        <c:axId val="55091200"/>
        <c:scaling>
          <c:orientation val="maxMin"/>
        </c:scaling>
        <c:delete val="0"/>
        <c:axPos val="l"/>
        <c:majorTickMark val="none"/>
        <c:minorTickMark val="none"/>
        <c:tickLblPos val="low"/>
        <c:crossAx val="55092736"/>
        <c:crosses val="autoZero"/>
        <c:auto val="1"/>
        <c:lblAlgn val="ctr"/>
        <c:lblOffset val="100"/>
        <c:noMultiLvlLbl val="0"/>
      </c:catAx>
      <c:valAx>
        <c:axId val="55092736"/>
        <c:scaling>
          <c:orientation val="minMax"/>
        </c:scaling>
        <c:delete val="1"/>
        <c:axPos val="b"/>
        <c:numFmt formatCode="0%" sourceLinked="1"/>
        <c:majorTickMark val="none"/>
        <c:minorTickMark val="none"/>
        <c:tickLblPos val="none"/>
        <c:crossAx val="55091200"/>
        <c:crosses val="max"/>
        <c:crossBetween val="between"/>
      </c:valAx>
    </c:plotArea>
    <c:legend>
      <c:legendPos val="b"/>
      <c:layout/>
      <c:overlay val="0"/>
    </c:legend>
    <c:plotVisOnly val="1"/>
    <c:dispBlanksAs val="gap"/>
    <c:showDLblsOverMax val="0"/>
  </c:chart>
  <c:spPr>
    <a:ln>
      <a:noFill/>
    </a:ln>
  </c:spPr>
  <c:txPr>
    <a:bodyPr/>
    <a:lstStyle/>
    <a:p>
      <a:pPr>
        <a:defRPr sz="1100">
          <a:effectLst>
            <a:glow rad="101600">
              <a:schemeClr val="bg1">
                <a:alpha val="60000"/>
              </a:schemeClr>
            </a:glow>
          </a:effectLst>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Sheet1!$B$93</c:f>
              <c:strCache>
                <c:ptCount val="1"/>
                <c:pt idx="0">
                  <c:v>Strongly disagree</c:v>
                </c:pt>
              </c:strCache>
            </c:strRef>
          </c:tx>
          <c:invertIfNegative val="0"/>
          <c:dLbls>
            <c:dLbl>
              <c:idx val="0"/>
              <c:layout>
                <c:manualLayout>
                  <c:x val="-1.9417475728155387E-2"/>
                  <c:y val="1.9959482251030487E-7"/>
                </c:manualLayout>
              </c:layout>
              <c:showLegendKey val="0"/>
              <c:showVal val="1"/>
              <c:showCatName val="0"/>
              <c:showSerName val="0"/>
              <c:showPercent val="0"/>
              <c:showBubbleSize val="0"/>
            </c:dLbl>
            <c:dLbl>
              <c:idx val="1"/>
              <c:layout>
                <c:manualLayout>
                  <c:x val="-1.7259978425026964E-2"/>
                  <c:y val="-5.0695088969392125E-3"/>
                </c:manualLayout>
              </c:layout>
              <c:showLegendKey val="0"/>
              <c:showVal val="1"/>
              <c:showCatName val="0"/>
              <c:showSerName val="0"/>
              <c:showPercent val="0"/>
              <c:showBubbleSize val="0"/>
            </c:dLbl>
            <c:dLbl>
              <c:idx val="2"/>
              <c:layout>
                <c:manualLayout>
                  <c:x val="-8.6299892125134992E-3"/>
                  <c:y val="0"/>
                </c:manualLayout>
              </c:layout>
              <c:showLegendKey val="0"/>
              <c:showVal val="1"/>
              <c:showCatName val="0"/>
              <c:showSerName val="0"/>
              <c:showPercent val="0"/>
              <c:showBubbleSize val="0"/>
            </c:dLbl>
            <c:dLbl>
              <c:idx val="3"/>
              <c:layout>
                <c:manualLayout>
                  <c:x val="-1.0787486515641856E-2"/>
                  <c:y val="0"/>
                </c:manualLayout>
              </c:layout>
              <c:showLegendKey val="0"/>
              <c:showVal val="1"/>
              <c:showCatName val="0"/>
              <c:showSerName val="0"/>
              <c:showPercent val="0"/>
              <c:showBubbleSize val="0"/>
            </c:dLbl>
            <c:dLbl>
              <c:idx val="4"/>
              <c:layout>
                <c:manualLayout>
                  <c:x val="-1.2944983818770227E-2"/>
                  <c:y val="-2.5348542458808652E-3"/>
                </c:manualLayout>
              </c:layout>
              <c:showLegendKey val="0"/>
              <c:showVal val="1"/>
              <c:showCatName val="0"/>
              <c:showSerName val="0"/>
              <c:showPercent val="0"/>
              <c:showBubbleSize val="0"/>
            </c:dLbl>
            <c:dLbl>
              <c:idx val="5"/>
              <c:layout>
                <c:manualLayout>
                  <c:x val="-1.2944983818770227E-2"/>
                  <c:y val="0"/>
                </c:manualLayout>
              </c:layout>
              <c:showLegendKey val="0"/>
              <c:showVal val="1"/>
              <c:showCatName val="0"/>
              <c:showSerName val="0"/>
              <c:showPercent val="0"/>
              <c:showBubbleSize val="0"/>
            </c:dLbl>
            <c:dLbl>
              <c:idx val="7"/>
              <c:layout>
                <c:manualLayout>
                  <c:x val="-8.6299892125134992E-3"/>
                  <c:y val="9.2943581990108385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Sheet1!$A$94:$A$101</c:f>
              <c:strCache>
                <c:ptCount val="8"/>
                <c:pt idx="0">
                  <c:v>…addresses the issues that are important to councils</c:v>
                </c:pt>
                <c:pt idx="1">
                  <c:v>…understands what councils need to help them improve their services and organisational capacity</c:v>
                </c:pt>
                <c:pt idx="2">
                  <c:v>…demonstrates value for money for the funding it receives</c:v>
                </c:pt>
                <c:pt idx="3">
                  <c:v>…is influential in shaping the agenda for local government</c:v>
                </c:pt>
                <c:pt idx="4">
                  <c:v>…stands up for and defends the reputation of local government</c:v>
                </c:pt>
                <c:pt idx="5">
                  <c:v>…effectively represents the views of its members to central government</c:v>
                </c:pt>
                <c:pt idx="6">
                  <c:v>…helps to set and drive improvement in the local government sector</c:v>
                </c:pt>
                <c:pt idx="7">
                  <c:v>…is transparent and accountable to its members</c:v>
                </c:pt>
              </c:strCache>
            </c:strRef>
          </c:cat>
          <c:val>
            <c:numRef>
              <c:f>Sheet1!$B$94:$B$101</c:f>
              <c:numCache>
                <c:formatCode>0%</c:formatCode>
                <c:ptCount val="8"/>
                <c:pt idx="0">
                  <c:v>2.0000000000000011E-2</c:v>
                </c:pt>
                <c:pt idx="1">
                  <c:v>2.0000000000000011E-2</c:v>
                </c:pt>
                <c:pt idx="2">
                  <c:v>3.0000000000000002E-2</c:v>
                </c:pt>
                <c:pt idx="3">
                  <c:v>3.0000000000000002E-2</c:v>
                </c:pt>
                <c:pt idx="4">
                  <c:v>2.0000000000000011E-2</c:v>
                </c:pt>
                <c:pt idx="5">
                  <c:v>3.0000000000000002E-2</c:v>
                </c:pt>
                <c:pt idx="6">
                  <c:v>1.0000000000000005E-2</c:v>
                </c:pt>
                <c:pt idx="7">
                  <c:v>2.0000000000000011E-2</c:v>
                </c:pt>
              </c:numCache>
            </c:numRef>
          </c:val>
        </c:ser>
        <c:ser>
          <c:idx val="1"/>
          <c:order val="1"/>
          <c:tx>
            <c:strRef>
              <c:f>Sheet1!$C$93</c:f>
              <c:strCache>
                <c:ptCount val="1"/>
                <c:pt idx="0">
                  <c:v>Tend to disagree</c:v>
                </c:pt>
              </c:strCache>
            </c:strRef>
          </c:tx>
          <c:invertIfNegative val="0"/>
          <c:cat>
            <c:strRef>
              <c:f>Sheet1!$A$94:$A$101</c:f>
              <c:strCache>
                <c:ptCount val="8"/>
                <c:pt idx="0">
                  <c:v>…addresses the issues that are important to councils</c:v>
                </c:pt>
                <c:pt idx="1">
                  <c:v>…understands what councils need to help them improve their services and organisational capacity</c:v>
                </c:pt>
                <c:pt idx="2">
                  <c:v>…demonstrates value for money for the funding it receives</c:v>
                </c:pt>
                <c:pt idx="3">
                  <c:v>…is influential in shaping the agenda for local government</c:v>
                </c:pt>
                <c:pt idx="4">
                  <c:v>…stands up for and defends the reputation of local government</c:v>
                </c:pt>
                <c:pt idx="5">
                  <c:v>…effectively represents the views of its members to central government</c:v>
                </c:pt>
                <c:pt idx="6">
                  <c:v>…helps to set and drive improvement in the local government sector</c:v>
                </c:pt>
                <c:pt idx="7">
                  <c:v>…is transparent and accountable to its members</c:v>
                </c:pt>
              </c:strCache>
            </c:strRef>
          </c:cat>
          <c:val>
            <c:numRef>
              <c:f>Sheet1!$C$94:$C$101</c:f>
              <c:numCache>
                <c:formatCode>0%</c:formatCode>
                <c:ptCount val="8"/>
                <c:pt idx="0">
                  <c:v>6.0000000000000032E-2</c:v>
                </c:pt>
                <c:pt idx="1">
                  <c:v>6.0000000000000032E-2</c:v>
                </c:pt>
                <c:pt idx="2">
                  <c:v>7.0000000000000021E-2</c:v>
                </c:pt>
                <c:pt idx="3">
                  <c:v>0.12000000000000002</c:v>
                </c:pt>
                <c:pt idx="4">
                  <c:v>0.05</c:v>
                </c:pt>
                <c:pt idx="5">
                  <c:v>7.0000000000000021E-2</c:v>
                </c:pt>
                <c:pt idx="6">
                  <c:v>8.0000000000000043E-2</c:v>
                </c:pt>
                <c:pt idx="7">
                  <c:v>7.0000000000000021E-2</c:v>
                </c:pt>
              </c:numCache>
            </c:numRef>
          </c:val>
        </c:ser>
        <c:ser>
          <c:idx val="2"/>
          <c:order val="2"/>
          <c:tx>
            <c:strRef>
              <c:f>Sheet1!$D$93</c:f>
              <c:strCache>
                <c:ptCount val="1"/>
                <c:pt idx="0">
                  <c:v>Neither agree nor disagree</c:v>
                </c:pt>
              </c:strCache>
            </c:strRef>
          </c:tx>
          <c:invertIfNegative val="0"/>
          <c:cat>
            <c:strRef>
              <c:f>Sheet1!$A$94:$A$101</c:f>
              <c:strCache>
                <c:ptCount val="8"/>
                <c:pt idx="0">
                  <c:v>…addresses the issues that are important to councils</c:v>
                </c:pt>
                <c:pt idx="1">
                  <c:v>…understands what councils need to help them improve their services and organisational capacity</c:v>
                </c:pt>
                <c:pt idx="2">
                  <c:v>…demonstrates value for money for the funding it receives</c:v>
                </c:pt>
                <c:pt idx="3">
                  <c:v>…is influential in shaping the agenda for local government</c:v>
                </c:pt>
                <c:pt idx="4">
                  <c:v>…stands up for and defends the reputation of local government</c:v>
                </c:pt>
                <c:pt idx="5">
                  <c:v>…effectively represents the views of its members to central government</c:v>
                </c:pt>
                <c:pt idx="6">
                  <c:v>…helps to set and drive improvement in the local government sector</c:v>
                </c:pt>
                <c:pt idx="7">
                  <c:v>…is transparent and accountable to its members</c:v>
                </c:pt>
              </c:strCache>
            </c:strRef>
          </c:cat>
          <c:val>
            <c:numRef>
              <c:f>Sheet1!$D$94:$D$101</c:f>
              <c:numCache>
                <c:formatCode>0%</c:formatCode>
                <c:ptCount val="8"/>
                <c:pt idx="0">
                  <c:v>8.0000000000000043E-2</c:v>
                </c:pt>
                <c:pt idx="1">
                  <c:v>0.14000000000000001</c:v>
                </c:pt>
                <c:pt idx="2">
                  <c:v>0.28000000000000008</c:v>
                </c:pt>
                <c:pt idx="3">
                  <c:v>0.14000000000000001</c:v>
                </c:pt>
                <c:pt idx="4">
                  <c:v>7.0000000000000021E-2</c:v>
                </c:pt>
                <c:pt idx="5">
                  <c:v>0.11</c:v>
                </c:pt>
                <c:pt idx="6">
                  <c:v>0.13</c:v>
                </c:pt>
                <c:pt idx="7">
                  <c:v>0.21000000000000021</c:v>
                </c:pt>
              </c:numCache>
            </c:numRef>
          </c:val>
        </c:ser>
        <c:ser>
          <c:idx val="3"/>
          <c:order val="3"/>
          <c:tx>
            <c:strRef>
              <c:f>Sheet1!$E$93</c:f>
              <c:strCache>
                <c:ptCount val="1"/>
                <c:pt idx="0">
                  <c:v>Tend to agree</c:v>
                </c:pt>
              </c:strCache>
            </c:strRef>
          </c:tx>
          <c:invertIfNegative val="0"/>
          <c:cat>
            <c:strRef>
              <c:f>Sheet1!$A$94:$A$101</c:f>
              <c:strCache>
                <c:ptCount val="8"/>
                <c:pt idx="0">
                  <c:v>…addresses the issues that are important to councils</c:v>
                </c:pt>
                <c:pt idx="1">
                  <c:v>…understands what councils need to help them improve their services and organisational capacity</c:v>
                </c:pt>
                <c:pt idx="2">
                  <c:v>…demonstrates value for money for the funding it receives</c:v>
                </c:pt>
                <c:pt idx="3">
                  <c:v>…is influential in shaping the agenda for local government</c:v>
                </c:pt>
                <c:pt idx="4">
                  <c:v>…stands up for and defends the reputation of local government</c:v>
                </c:pt>
                <c:pt idx="5">
                  <c:v>…effectively represents the views of its members to central government</c:v>
                </c:pt>
                <c:pt idx="6">
                  <c:v>…helps to set and drive improvement in the local government sector</c:v>
                </c:pt>
                <c:pt idx="7">
                  <c:v>…is transparent and accountable to its members</c:v>
                </c:pt>
              </c:strCache>
            </c:strRef>
          </c:cat>
          <c:val>
            <c:numRef>
              <c:f>Sheet1!$E$94:$E$101</c:f>
              <c:numCache>
                <c:formatCode>0%</c:formatCode>
                <c:ptCount val="8"/>
                <c:pt idx="0">
                  <c:v>0.51</c:v>
                </c:pt>
                <c:pt idx="1">
                  <c:v>0.53</c:v>
                </c:pt>
                <c:pt idx="2">
                  <c:v>0.37000000000000038</c:v>
                </c:pt>
                <c:pt idx="3">
                  <c:v>0.52</c:v>
                </c:pt>
                <c:pt idx="4">
                  <c:v>0.43000000000000038</c:v>
                </c:pt>
                <c:pt idx="5">
                  <c:v>0.5</c:v>
                </c:pt>
                <c:pt idx="6">
                  <c:v>0.53</c:v>
                </c:pt>
                <c:pt idx="7">
                  <c:v>0.44</c:v>
                </c:pt>
              </c:numCache>
            </c:numRef>
          </c:val>
        </c:ser>
        <c:ser>
          <c:idx val="4"/>
          <c:order val="4"/>
          <c:tx>
            <c:strRef>
              <c:f>Sheet1!$F$93</c:f>
              <c:strCache>
                <c:ptCount val="1"/>
                <c:pt idx="0">
                  <c:v>Strongly agree</c:v>
                </c:pt>
              </c:strCache>
            </c:strRef>
          </c:tx>
          <c:invertIfNegative val="0"/>
          <c:cat>
            <c:strRef>
              <c:f>Sheet1!$A$94:$A$101</c:f>
              <c:strCache>
                <c:ptCount val="8"/>
                <c:pt idx="0">
                  <c:v>…addresses the issues that are important to councils</c:v>
                </c:pt>
                <c:pt idx="1">
                  <c:v>…understands what councils need to help them improve their services and organisational capacity</c:v>
                </c:pt>
                <c:pt idx="2">
                  <c:v>…demonstrates value for money for the funding it receives</c:v>
                </c:pt>
                <c:pt idx="3">
                  <c:v>…is influential in shaping the agenda for local government</c:v>
                </c:pt>
                <c:pt idx="4">
                  <c:v>…stands up for and defends the reputation of local government</c:v>
                </c:pt>
                <c:pt idx="5">
                  <c:v>…effectively represents the views of its members to central government</c:v>
                </c:pt>
                <c:pt idx="6">
                  <c:v>…helps to set and drive improvement in the local government sector</c:v>
                </c:pt>
                <c:pt idx="7">
                  <c:v>…is transparent and accountable to its members</c:v>
                </c:pt>
              </c:strCache>
            </c:strRef>
          </c:cat>
          <c:val>
            <c:numRef>
              <c:f>Sheet1!$F$94:$F$101</c:f>
              <c:numCache>
                <c:formatCode>0%</c:formatCode>
                <c:ptCount val="8"/>
                <c:pt idx="0">
                  <c:v>0.32000000000000056</c:v>
                </c:pt>
                <c:pt idx="1">
                  <c:v>0.24000000000000021</c:v>
                </c:pt>
                <c:pt idx="2">
                  <c:v>0.16</c:v>
                </c:pt>
                <c:pt idx="3">
                  <c:v>0.16</c:v>
                </c:pt>
                <c:pt idx="4">
                  <c:v>0.42000000000000032</c:v>
                </c:pt>
                <c:pt idx="5">
                  <c:v>0.27</c:v>
                </c:pt>
                <c:pt idx="6">
                  <c:v>0.23</c:v>
                </c:pt>
                <c:pt idx="7">
                  <c:v>0.22</c:v>
                </c:pt>
              </c:numCache>
            </c:numRef>
          </c:val>
        </c:ser>
        <c:ser>
          <c:idx val="5"/>
          <c:order val="5"/>
          <c:tx>
            <c:strRef>
              <c:f>Sheet1!$G$93</c:f>
              <c:strCache>
                <c:ptCount val="1"/>
                <c:pt idx="0">
                  <c:v>Don't know</c:v>
                </c:pt>
              </c:strCache>
            </c:strRef>
          </c:tx>
          <c:invertIfNegative val="0"/>
          <c:cat>
            <c:strRef>
              <c:f>Sheet1!$A$94:$A$101</c:f>
              <c:strCache>
                <c:ptCount val="8"/>
                <c:pt idx="0">
                  <c:v>…addresses the issues that are important to councils</c:v>
                </c:pt>
                <c:pt idx="1">
                  <c:v>…understands what councils need to help them improve their services and organisational capacity</c:v>
                </c:pt>
                <c:pt idx="2">
                  <c:v>…demonstrates value for money for the funding it receives</c:v>
                </c:pt>
                <c:pt idx="3">
                  <c:v>…is influential in shaping the agenda for local government</c:v>
                </c:pt>
                <c:pt idx="4">
                  <c:v>…stands up for and defends the reputation of local government</c:v>
                </c:pt>
                <c:pt idx="5">
                  <c:v>…effectively represents the views of its members to central government</c:v>
                </c:pt>
                <c:pt idx="6">
                  <c:v>…helps to set and drive improvement in the local government sector</c:v>
                </c:pt>
                <c:pt idx="7">
                  <c:v>…is transparent and accountable to its members</c:v>
                </c:pt>
              </c:strCache>
            </c:strRef>
          </c:cat>
          <c:val>
            <c:numRef>
              <c:f>Sheet1!$G$94:$G$101</c:f>
              <c:numCache>
                <c:formatCode>0%</c:formatCode>
                <c:ptCount val="8"/>
                <c:pt idx="0">
                  <c:v>1.0000000000000005E-2</c:v>
                </c:pt>
                <c:pt idx="1">
                  <c:v>2.0000000000000011E-2</c:v>
                </c:pt>
                <c:pt idx="2">
                  <c:v>0.1</c:v>
                </c:pt>
                <c:pt idx="3">
                  <c:v>2.0000000000000011E-2</c:v>
                </c:pt>
                <c:pt idx="4">
                  <c:v>1.0000000000000005E-2</c:v>
                </c:pt>
                <c:pt idx="5">
                  <c:v>2.0000000000000011E-2</c:v>
                </c:pt>
                <c:pt idx="6">
                  <c:v>2.0000000000000011E-2</c:v>
                </c:pt>
                <c:pt idx="7">
                  <c:v>0.05</c:v>
                </c:pt>
              </c:numCache>
            </c:numRef>
          </c:val>
        </c:ser>
        <c:dLbls>
          <c:showLegendKey val="0"/>
          <c:showVal val="1"/>
          <c:showCatName val="0"/>
          <c:showSerName val="0"/>
          <c:showPercent val="0"/>
          <c:showBubbleSize val="0"/>
        </c:dLbls>
        <c:gapWidth val="40"/>
        <c:overlap val="100"/>
        <c:axId val="57352576"/>
        <c:axId val="57354112"/>
      </c:barChart>
      <c:catAx>
        <c:axId val="57352576"/>
        <c:scaling>
          <c:orientation val="maxMin"/>
        </c:scaling>
        <c:delete val="0"/>
        <c:axPos val="l"/>
        <c:majorTickMark val="none"/>
        <c:minorTickMark val="none"/>
        <c:tickLblPos val="low"/>
        <c:crossAx val="57354112"/>
        <c:crosses val="autoZero"/>
        <c:auto val="1"/>
        <c:lblAlgn val="ctr"/>
        <c:lblOffset val="100"/>
        <c:noMultiLvlLbl val="0"/>
      </c:catAx>
      <c:valAx>
        <c:axId val="57354112"/>
        <c:scaling>
          <c:orientation val="minMax"/>
        </c:scaling>
        <c:delete val="1"/>
        <c:axPos val="b"/>
        <c:numFmt formatCode="0%" sourceLinked="1"/>
        <c:majorTickMark val="none"/>
        <c:minorTickMark val="none"/>
        <c:tickLblPos val="none"/>
        <c:crossAx val="57352576"/>
        <c:crosses val="max"/>
        <c:crossBetween val="between"/>
      </c:valAx>
    </c:plotArea>
    <c:legend>
      <c:legendPos val="b"/>
      <c:layout/>
      <c:overlay val="0"/>
    </c:legend>
    <c:plotVisOnly val="1"/>
    <c:dispBlanksAs val="gap"/>
    <c:showDLblsOverMax val="0"/>
  </c:chart>
  <c:spPr>
    <a:ln>
      <a:noFill/>
    </a:ln>
  </c:spPr>
  <c:txPr>
    <a:bodyPr/>
    <a:lstStyle/>
    <a:p>
      <a:pPr>
        <a:defRPr sz="1100">
          <a:effectLst>
            <a:glow rad="101600">
              <a:schemeClr val="bg1">
                <a:alpha val="60000"/>
              </a:schemeClr>
            </a:glow>
          </a:effectLst>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Sheet1!$A$110</c:f>
              <c:strCache>
                <c:ptCount val="1"/>
                <c:pt idx="0">
                  <c:v>Not at all </c:v>
                </c:pt>
              </c:strCache>
            </c:strRef>
          </c:tx>
          <c:invertIfNegative val="0"/>
          <c:dPt>
            <c:idx val="1"/>
            <c:invertIfNegative val="0"/>
            <c:bubble3D val="0"/>
            <c:spPr>
              <a:solidFill>
                <a:srgbClr val="4F81BD">
                  <a:lumMod val="60000"/>
                  <a:lumOff val="40000"/>
                </a:srgbClr>
              </a:solidFill>
            </c:spPr>
          </c:dPt>
          <c:dLbls>
            <c:dLbl>
              <c:idx val="8"/>
              <c:delete val="1"/>
            </c:dLbl>
            <c:showLegendKey val="0"/>
            <c:showVal val="1"/>
            <c:showCatName val="0"/>
            <c:showSerName val="0"/>
            <c:showPercent val="0"/>
            <c:showBubbleSize val="0"/>
            <c:showLeaderLines val="0"/>
          </c:dLbls>
          <c:cat>
            <c:strRef>
              <c:f>Sheet1!$B$109:$L$109</c:f>
              <c:strCache>
                <c:ptCount val="11"/>
                <c:pt idx="0">
                  <c:v>2013 (917)</c:v>
                </c:pt>
                <c:pt idx="1">
                  <c:v>2012 (937)</c:v>
                </c:pt>
                <c:pt idx="2">
                  <c:v>East (126)</c:v>
                </c:pt>
                <c:pt idx="3">
                  <c:v>East Midlands (113)</c:v>
                </c:pt>
                <c:pt idx="4">
                  <c:v>London (91)</c:v>
                </c:pt>
                <c:pt idx="5">
                  <c:v>North East (66)</c:v>
                </c:pt>
                <c:pt idx="6">
                  <c:v>North West (93)</c:v>
                </c:pt>
                <c:pt idx="7">
                  <c:v>South East (145)</c:v>
                </c:pt>
                <c:pt idx="8">
                  <c:v>South West (92)</c:v>
                </c:pt>
                <c:pt idx="9">
                  <c:v>West Midlands (101)</c:v>
                </c:pt>
                <c:pt idx="10">
                  <c:v>Yorks. and the Humber (90)</c:v>
                </c:pt>
              </c:strCache>
            </c:strRef>
          </c:cat>
          <c:val>
            <c:numRef>
              <c:f>Sheet1!$B$110:$L$110</c:f>
              <c:numCache>
                <c:formatCode>0%</c:formatCode>
                <c:ptCount val="11"/>
                <c:pt idx="0">
                  <c:v>1.0000000000000005E-2</c:v>
                </c:pt>
                <c:pt idx="1">
                  <c:v>2.0000000000000011E-2</c:v>
                </c:pt>
                <c:pt idx="2">
                  <c:v>1.0000000000000005E-2</c:v>
                </c:pt>
                <c:pt idx="3">
                  <c:v>2.0000000000000011E-2</c:v>
                </c:pt>
                <c:pt idx="4">
                  <c:v>1.0000000000000005E-2</c:v>
                </c:pt>
                <c:pt idx="5">
                  <c:v>0.05</c:v>
                </c:pt>
                <c:pt idx="6">
                  <c:v>2.0000000000000011E-2</c:v>
                </c:pt>
                <c:pt idx="7">
                  <c:v>1.0000000000000005E-2</c:v>
                </c:pt>
                <c:pt idx="8">
                  <c:v>0</c:v>
                </c:pt>
                <c:pt idx="9">
                  <c:v>1.0000000000000005E-2</c:v>
                </c:pt>
                <c:pt idx="10">
                  <c:v>1.0000000000000005E-2</c:v>
                </c:pt>
              </c:numCache>
            </c:numRef>
          </c:val>
        </c:ser>
        <c:ser>
          <c:idx val="1"/>
          <c:order val="1"/>
          <c:tx>
            <c:strRef>
              <c:f>Sheet1!$A$111</c:f>
              <c:strCache>
                <c:ptCount val="1"/>
                <c:pt idx="0">
                  <c:v>Not very much</c:v>
                </c:pt>
              </c:strCache>
            </c:strRef>
          </c:tx>
          <c:invertIfNegative val="0"/>
          <c:dPt>
            <c:idx val="1"/>
            <c:invertIfNegative val="0"/>
            <c:bubble3D val="0"/>
            <c:spPr>
              <a:solidFill>
                <a:srgbClr val="C0504D">
                  <a:lumMod val="60000"/>
                  <a:lumOff val="40000"/>
                </a:srgbClr>
              </a:solidFill>
            </c:spPr>
          </c:dPt>
          <c:cat>
            <c:strRef>
              <c:f>Sheet1!$B$109:$L$109</c:f>
              <c:strCache>
                <c:ptCount val="11"/>
                <c:pt idx="0">
                  <c:v>2013 (917)</c:v>
                </c:pt>
                <c:pt idx="1">
                  <c:v>2012 (937)</c:v>
                </c:pt>
                <c:pt idx="2">
                  <c:v>East (126)</c:v>
                </c:pt>
                <c:pt idx="3">
                  <c:v>East Midlands (113)</c:v>
                </c:pt>
                <c:pt idx="4">
                  <c:v>London (91)</c:v>
                </c:pt>
                <c:pt idx="5">
                  <c:v>North East (66)</c:v>
                </c:pt>
                <c:pt idx="6">
                  <c:v>North West (93)</c:v>
                </c:pt>
                <c:pt idx="7">
                  <c:v>South East (145)</c:v>
                </c:pt>
                <c:pt idx="8">
                  <c:v>South West (92)</c:v>
                </c:pt>
                <c:pt idx="9">
                  <c:v>West Midlands (101)</c:v>
                </c:pt>
                <c:pt idx="10">
                  <c:v>Yorks. and the Humber (90)</c:v>
                </c:pt>
              </c:strCache>
            </c:strRef>
          </c:cat>
          <c:val>
            <c:numRef>
              <c:f>Sheet1!$B$111:$L$111</c:f>
              <c:numCache>
                <c:formatCode>0%</c:formatCode>
                <c:ptCount val="11"/>
                <c:pt idx="0">
                  <c:v>0.15000000000000022</c:v>
                </c:pt>
                <c:pt idx="1">
                  <c:v>0.18000000000000022</c:v>
                </c:pt>
                <c:pt idx="2">
                  <c:v>0.1</c:v>
                </c:pt>
                <c:pt idx="3">
                  <c:v>0.16</c:v>
                </c:pt>
                <c:pt idx="4">
                  <c:v>0.22</c:v>
                </c:pt>
                <c:pt idx="5">
                  <c:v>0.2</c:v>
                </c:pt>
                <c:pt idx="6">
                  <c:v>9.0000000000000024E-2</c:v>
                </c:pt>
                <c:pt idx="7">
                  <c:v>0.17</c:v>
                </c:pt>
                <c:pt idx="8">
                  <c:v>0.11</c:v>
                </c:pt>
                <c:pt idx="9">
                  <c:v>0.14000000000000001</c:v>
                </c:pt>
                <c:pt idx="10">
                  <c:v>0.19</c:v>
                </c:pt>
              </c:numCache>
            </c:numRef>
          </c:val>
        </c:ser>
        <c:ser>
          <c:idx val="2"/>
          <c:order val="2"/>
          <c:tx>
            <c:strRef>
              <c:f>Sheet1!$A$112</c:f>
              <c:strCache>
                <c:ptCount val="1"/>
                <c:pt idx="0">
                  <c:v>A fair amount </c:v>
                </c:pt>
              </c:strCache>
            </c:strRef>
          </c:tx>
          <c:invertIfNegative val="0"/>
          <c:dPt>
            <c:idx val="1"/>
            <c:invertIfNegative val="0"/>
            <c:bubble3D val="0"/>
            <c:spPr>
              <a:solidFill>
                <a:srgbClr val="9BBB59">
                  <a:lumMod val="60000"/>
                  <a:lumOff val="40000"/>
                </a:srgbClr>
              </a:solidFill>
            </c:spPr>
          </c:dPt>
          <c:cat>
            <c:strRef>
              <c:f>Sheet1!$B$109:$L$109</c:f>
              <c:strCache>
                <c:ptCount val="11"/>
                <c:pt idx="0">
                  <c:v>2013 (917)</c:v>
                </c:pt>
                <c:pt idx="1">
                  <c:v>2012 (937)</c:v>
                </c:pt>
                <c:pt idx="2">
                  <c:v>East (126)</c:v>
                </c:pt>
                <c:pt idx="3">
                  <c:v>East Midlands (113)</c:v>
                </c:pt>
                <c:pt idx="4">
                  <c:v>London (91)</c:v>
                </c:pt>
                <c:pt idx="5">
                  <c:v>North East (66)</c:v>
                </c:pt>
                <c:pt idx="6">
                  <c:v>North West (93)</c:v>
                </c:pt>
                <c:pt idx="7">
                  <c:v>South East (145)</c:v>
                </c:pt>
                <c:pt idx="8">
                  <c:v>South West (92)</c:v>
                </c:pt>
                <c:pt idx="9">
                  <c:v>West Midlands (101)</c:v>
                </c:pt>
                <c:pt idx="10">
                  <c:v>Yorks. and the Humber (90)</c:v>
                </c:pt>
              </c:strCache>
            </c:strRef>
          </c:cat>
          <c:val>
            <c:numRef>
              <c:f>Sheet1!$B$112:$L$112</c:f>
              <c:numCache>
                <c:formatCode>0%</c:formatCode>
                <c:ptCount val="11"/>
                <c:pt idx="0">
                  <c:v>0.60000000000000064</c:v>
                </c:pt>
                <c:pt idx="1">
                  <c:v>0.62000000000000088</c:v>
                </c:pt>
                <c:pt idx="2">
                  <c:v>0.61000000000000065</c:v>
                </c:pt>
                <c:pt idx="3">
                  <c:v>0.56000000000000005</c:v>
                </c:pt>
                <c:pt idx="4">
                  <c:v>0.59</c:v>
                </c:pt>
                <c:pt idx="5">
                  <c:v>0.53</c:v>
                </c:pt>
                <c:pt idx="6">
                  <c:v>0.62000000000000088</c:v>
                </c:pt>
                <c:pt idx="7">
                  <c:v>0.67000000000000115</c:v>
                </c:pt>
                <c:pt idx="8">
                  <c:v>0.56999999999999995</c:v>
                </c:pt>
                <c:pt idx="9">
                  <c:v>0.56999999999999995</c:v>
                </c:pt>
                <c:pt idx="10">
                  <c:v>0.59</c:v>
                </c:pt>
              </c:numCache>
            </c:numRef>
          </c:val>
        </c:ser>
        <c:ser>
          <c:idx val="3"/>
          <c:order val="3"/>
          <c:tx>
            <c:strRef>
              <c:f>Sheet1!$A$113</c:f>
              <c:strCache>
                <c:ptCount val="1"/>
                <c:pt idx="0">
                  <c:v>A great deal </c:v>
                </c:pt>
              </c:strCache>
            </c:strRef>
          </c:tx>
          <c:invertIfNegative val="0"/>
          <c:dPt>
            <c:idx val="1"/>
            <c:invertIfNegative val="0"/>
            <c:bubble3D val="0"/>
            <c:spPr>
              <a:solidFill>
                <a:srgbClr val="8064A2">
                  <a:lumMod val="60000"/>
                  <a:lumOff val="40000"/>
                </a:srgbClr>
              </a:solidFill>
            </c:spPr>
          </c:dPt>
          <c:cat>
            <c:strRef>
              <c:f>Sheet1!$B$109:$L$109</c:f>
              <c:strCache>
                <c:ptCount val="11"/>
                <c:pt idx="0">
                  <c:v>2013 (917)</c:v>
                </c:pt>
                <c:pt idx="1">
                  <c:v>2012 (937)</c:v>
                </c:pt>
                <c:pt idx="2">
                  <c:v>East (126)</c:v>
                </c:pt>
                <c:pt idx="3">
                  <c:v>East Midlands (113)</c:v>
                </c:pt>
                <c:pt idx="4">
                  <c:v>London (91)</c:v>
                </c:pt>
                <c:pt idx="5">
                  <c:v>North East (66)</c:v>
                </c:pt>
                <c:pt idx="6">
                  <c:v>North West (93)</c:v>
                </c:pt>
                <c:pt idx="7">
                  <c:v>South East (145)</c:v>
                </c:pt>
                <c:pt idx="8">
                  <c:v>South West (92)</c:v>
                </c:pt>
                <c:pt idx="9">
                  <c:v>West Midlands (101)</c:v>
                </c:pt>
                <c:pt idx="10">
                  <c:v>Yorks. and the Humber (90)</c:v>
                </c:pt>
              </c:strCache>
            </c:strRef>
          </c:cat>
          <c:val>
            <c:numRef>
              <c:f>Sheet1!$B$113:$L$113</c:f>
              <c:numCache>
                <c:formatCode>0%</c:formatCode>
                <c:ptCount val="11"/>
                <c:pt idx="0">
                  <c:v>0.22</c:v>
                </c:pt>
                <c:pt idx="1">
                  <c:v>0.15000000000000022</c:v>
                </c:pt>
                <c:pt idx="2">
                  <c:v>0.26</c:v>
                </c:pt>
                <c:pt idx="3">
                  <c:v>0.24000000000000021</c:v>
                </c:pt>
                <c:pt idx="4">
                  <c:v>0.16</c:v>
                </c:pt>
                <c:pt idx="5">
                  <c:v>0.23</c:v>
                </c:pt>
                <c:pt idx="6">
                  <c:v>0.23</c:v>
                </c:pt>
                <c:pt idx="7">
                  <c:v>0.12000000000000002</c:v>
                </c:pt>
                <c:pt idx="8">
                  <c:v>0.29000000000000031</c:v>
                </c:pt>
                <c:pt idx="9">
                  <c:v>0.26</c:v>
                </c:pt>
                <c:pt idx="10">
                  <c:v>0.19</c:v>
                </c:pt>
              </c:numCache>
            </c:numRef>
          </c:val>
        </c:ser>
        <c:ser>
          <c:idx val="4"/>
          <c:order val="4"/>
          <c:tx>
            <c:strRef>
              <c:f>Sheet1!$A$114</c:f>
              <c:strCache>
                <c:ptCount val="1"/>
                <c:pt idx="0">
                  <c:v>Don’t know</c:v>
                </c:pt>
              </c:strCache>
            </c:strRef>
          </c:tx>
          <c:invertIfNegative val="0"/>
          <c:dPt>
            <c:idx val="1"/>
            <c:invertIfNegative val="0"/>
            <c:bubble3D val="0"/>
            <c:spPr>
              <a:solidFill>
                <a:srgbClr val="4BACC6">
                  <a:lumMod val="60000"/>
                  <a:lumOff val="40000"/>
                </a:srgbClr>
              </a:solidFill>
            </c:spPr>
          </c:dPt>
          <c:dLbls>
            <c:dLbl>
              <c:idx val="5"/>
              <c:delete val="1"/>
            </c:dLbl>
            <c:showLegendKey val="0"/>
            <c:showVal val="1"/>
            <c:showCatName val="0"/>
            <c:showSerName val="0"/>
            <c:showPercent val="0"/>
            <c:showBubbleSize val="0"/>
            <c:showLeaderLines val="0"/>
          </c:dLbls>
          <c:cat>
            <c:strRef>
              <c:f>Sheet1!$B$109:$L$109</c:f>
              <c:strCache>
                <c:ptCount val="11"/>
                <c:pt idx="0">
                  <c:v>2013 (917)</c:v>
                </c:pt>
                <c:pt idx="1">
                  <c:v>2012 (937)</c:v>
                </c:pt>
                <c:pt idx="2">
                  <c:v>East (126)</c:v>
                </c:pt>
                <c:pt idx="3">
                  <c:v>East Midlands (113)</c:v>
                </c:pt>
                <c:pt idx="4">
                  <c:v>London (91)</c:v>
                </c:pt>
                <c:pt idx="5">
                  <c:v>North East (66)</c:v>
                </c:pt>
                <c:pt idx="6">
                  <c:v>North West (93)</c:v>
                </c:pt>
                <c:pt idx="7">
                  <c:v>South East (145)</c:v>
                </c:pt>
                <c:pt idx="8">
                  <c:v>South West (92)</c:v>
                </c:pt>
                <c:pt idx="9">
                  <c:v>West Midlands (101)</c:v>
                </c:pt>
                <c:pt idx="10">
                  <c:v>Yorks. and the Humber (90)</c:v>
                </c:pt>
              </c:strCache>
            </c:strRef>
          </c:cat>
          <c:val>
            <c:numRef>
              <c:f>Sheet1!$B$114:$L$114</c:f>
              <c:numCache>
                <c:formatCode>0%</c:formatCode>
                <c:ptCount val="11"/>
                <c:pt idx="0">
                  <c:v>3.0000000000000002E-2</c:v>
                </c:pt>
                <c:pt idx="1">
                  <c:v>2.0000000000000011E-2</c:v>
                </c:pt>
                <c:pt idx="2">
                  <c:v>2.0000000000000011E-2</c:v>
                </c:pt>
                <c:pt idx="3">
                  <c:v>3.0000000000000002E-2</c:v>
                </c:pt>
                <c:pt idx="4">
                  <c:v>1.0000000000000005E-2</c:v>
                </c:pt>
                <c:pt idx="5">
                  <c:v>0</c:v>
                </c:pt>
                <c:pt idx="6">
                  <c:v>4.0000000000000022E-2</c:v>
                </c:pt>
                <c:pt idx="7">
                  <c:v>4.0000000000000022E-2</c:v>
                </c:pt>
                <c:pt idx="8">
                  <c:v>3.0000000000000002E-2</c:v>
                </c:pt>
                <c:pt idx="9">
                  <c:v>2.0000000000000011E-2</c:v>
                </c:pt>
                <c:pt idx="10">
                  <c:v>2.0000000000000011E-2</c:v>
                </c:pt>
              </c:numCache>
            </c:numRef>
          </c:val>
        </c:ser>
        <c:dLbls>
          <c:showLegendKey val="0"/>
          <c:showVal val="1"/>
          <c:showCatName val="0"/>
          <c:showSerName val="0"/>
          <c:showPercent val="0"/>
          <c:showBubbleSize val="0"/>
        </c:dLbls>
        <c:gapWidth val="40"/>
        <c:overlap val="100"/>
        <c:axId val="58724736"/>
        <c:axId val="58726272"/>
      </c:barChart>
      <c:catAx>
        <c:axId val="58724736"/>
        <c:scaling>
          <c:orientation val="maxMin"/>
        </c:scaling>
        <c:delete val="0"/>
        <c:axPos val="l"/>
        <c:majorTickMark val="none"/>
        <c:minorTickMark val="none"/>
        <c:tickLblPos val="low"/>
        <c:crossAx val="58726272"/>
        <c:crosses val="autoZero"/>
        <c:auto val="1"/>
        <c:lblAlgn val="ctr"/>
        <c:lblOffset val="100"/>
        <c:noMultiLvlLbl val="0"/>
      </c:catAx>
      <c:valAx>
        <c:axId val="58726272"/>
        <c:scaling>
          <c:orientation val="minMax"/>
        </c:scaling>
        <c:delete val="1"/>
        <c:axPos val="b"/>
        <c:numFmt formatCode="0%" sourceLinked="1"/>
        <c:majorTickMark val="none"/>
        <c:minorTickMark val="none"/>
        <c:tickLblPos val="none"/>
        <c:crossAx val="58724736"/>
        <c:crosses val="max"/>
        <c:crossBetween val="between"/>
      </c:valAx>
    </c:plotArea>
    <c:legend>
      <c:legendPos val="b"/>
      <c:layout/>
      <c:overlay val="0"/>
    </c:legend>
    <c:plotVisOnly val="1"/>
    <c:dispBlanksAs val="gap"/>
    <c:showDLblsOverMax val="0"/>
  </c:chart>
  <c:spPr>
    <a:ln>
      <a:noFill/>
    </a:ln>
  </c:spPr>
  <c:txPr>
    <a:bodyPr/>
    <a:lstStyle/>
    <a:p>
      <a:pPr>
        <a:defRPr sz="1100">
          <a:effectLst>
            <a:glow rad="101600">
              <a:schemeClr val="bg1">
                <a:alpha val="60000"/>
              </a:schemeClr>
            </a:glow>
          </a:effectLst>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Sheet1!$B$178</c:f>
              <c:strCache>
                <c:ptCount val="1"/>
                <c:pt idx="0">
                  <c:v>Not at all important</c:v>
                </c:pt>
              </c:strCache>
            </c:strRef>
          </c:tx>
          <c:invertIfNegative val="0"/>
          <c:cat>
            <c:strRef>
              <c:f>Sheet1!$A$179:$A$182</c:f>
              <c:strCache>
                <c:ptCount val="4"/>
                <c:pt idx="0">
                  <c:v>Providing a single voice for local government</c:v>
                </c:pt>
                <c:pt idx="1">
                  <c:v>Managing local government's reputation in the national media</c:v>
                </c:pt>
                <c:pt idx="2">
                  <c:v>Providing support and challenge for councils to improve</c:v>
                </c:pt>
                <c:pt idx="3">
                  <c:v>Supporting and promoting councils who are trying to transform services to better support their communities</c:v>
                </c:pt>
              </c:strCache>
            </c:strRef>
          </c:cat>
          <c:val>
            <c:numRef>
              <c:f>Sheet1!$B$179:$B$182</c:f>
              <c:numCache>
                <c:formatCode>0%</c:formatCode>
                <c:ptCount val="4"/>
                <c:pt idx="0">
                  <c:v>1.0000000000000005E-2</c:v>
                </c:pt>
                <c:pt idx="1">
                  <c:v>1.0000000000000005E-2</c:v>
                </c:pt>
                <c:pt idx="2">
                  <c:v>1.0000000000000005E-2</c:v>
                </c:pt>
                <c:pt idx="3">
                  <c:v>1.0000000000000005E-2</c:v>
                </c:pt>
              </c:numCache>
            </c:numRef>
          </c:val>
        </c:ser>
        <c:ser>
          <c:idx val="1"/>
          <c:order val="1"/>
          <c:tx>
            <c:strRef>
              <c:f>Sheet1!$C$178</c:f>
              <c:strCache>
                <c:ptCount val="1"/>
                <c:pt idx="0">
                  <c:v>Not very important</c:v>
                </c:pt>
              </c:strCache>
            </c:strRef>
          </c:tx>
          <c:invertIfNegative val="0"/>
          <c:dLbls>
            <c:dLbl>
              <c:idx val="0"/>
              <c:layout>
                <c:manualLayout>
                  <c:x val="6.4724919093851205E-3"/>
                  <c:y val="3.1821797931583178E-2"/>
                </c:manualLayout>
              </c:layout>
              <c:showLegendKey val="0"/>
              <c:showVal val="1"/>
              <c:showCatName val="0"/>
              <c:showSerName val="0"/>
              <c:showPercent val="0"/>
              <c:showBubbleSize val="0"/>
            </c:dLbl>
            <c:dLbl>
              <c:idx val="1"/>
              <c:layout>
                <c:manualLayout>
                  <c:x val="8.6299892125134975E-3"/>
                  <c:y val="3.1821797931583191E-2"/>
                </c:manualLayout>
              </c:layout>
              <c:showLegendKey val="0"/>
              <c:showVal val="1"/>
              <c:showCatName val="0"/>
              <c:showSerName val="0"/>
              <c:showPercent val="0"/>
              <c:showBubbleSize val="0"/>
            </c:dLbl>
            <c:dLbl>
              <c:idx val="2"/>
              <c:layout>
                <c:manualLayout>
                  <c:x val="4.3149946062567314E-3"/>
                  <c:y val="2.227525855210824E-2"/>
                </c:manualLayout>
              </c:layout>
              <c:showLegendKey val="0"/>
              <c:showVal val="1"/>
              <c:showCatName val="0"/>
              <c:showSerName val="0"/>
              <c:showPercent val="0"/>
              <c:showBubbleSize val="0"/>
            </c:dLbl>
            <c:dLbl>
              <c:idx val="3"/>
              <c:layout>
                <c:manualLayout>
                  <c:x val="2.1574973031283744E-3"/>
                  <c:y val="3.818615751789980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Sheet1!$A$179:$A$182</c:f>
              <c:strCache>
                <c:ptCount val="4"/>
                <c:pt idx="0">
                  <c:v>Providing a single voice for local government</c:v>
                </c:pt>
                <c:pt idx="1">
                  <c:v>Managing local government's reputation in the national media</c:v>
                </c:pt>
                <c:pt idx="2">
                  <c:v>Providing support and challenge for councils to improve</c:v>
                </c:pt>
                <c:pt idx="3">
                  <c:v>Supporting and promoting councils who are trying to transform services to better support their communities</c:v>
                </c:pt>
              </c:strCache>
            </c:strRef>
          </c:cat>
          <c:val>
            <c:numRef>
              <c:f>Sheet1!$C$179:$C$182</c:f>
              <c:numCache>
                <c:formatCode>0%</c:formatCode>
                <c:ptCount val="4"/>
                <c:pt idx="0">
                  <c:v>3.0000000000000002E-2</c:v>
                </c:pt>
                <c:pt idx="1">
                  <c:v>0.05</c:v>
                </c:pt>
                <c:pt idx="2">
                  <c:v>7.0000000000000021E-2</c:v>
                </c:pt>
                <c:pt idx="3">
                  <c:v>0.05</c:v>
                </c:pt>
              </c:numCache>
            </c:numRef>
          </c:val>
        </c:ser>
        <c:ser>
          <c:idx val="2"/>
          <c:order val="2"/>
          <c:tx>
            <c:strRef>
              <c:f>Sheet1!$D$178</c:f>
              <c:strCache>
                <c:ptCount val="1"/>
                <c:pt idx="0">
                  <c:v>Fairly important</c:v>
                </c:pt>
              </c:strCache>
            </c:strRef>
          </c:tx>
          <c:invertIfNegative val="0"/>
          <c:cat>
            <c:strRef>
              <c:f>Sheet1!$A$179:$A$182</c:f>
              <c:strCache>
                <c:ptCount val="4"/>
                <c:pt idx="0">
                  <c:v>Providing a single voice for local government</c:v>
                </c:pt>
                <c:pt idx="1">
                  <c:v>Managing local government's reputation in the national media</c:v>
                </c:pt>
                <c:pt idx="2">
                  <c:v>Providing support and challenge for councils to improve</c:v>
                </c:pt>
                <c:pt idx="3">
                  <c:v>Supporting and promoting councils who are trying to transform services to better support their communities</c:v>
                </c:pt>
              </c:strCache>
            </c:strRef>
          </c:cat>
          <c:val>
            <c:numRef>
              <c:f>Sheet1!$D$179:$D$182</c:f>
              <c:numCache>
                <c:formatCode>0%</c:formatCode>
                <c:ptCount val="4"/>
                <c:pt idx="0">
                  <c:v>0.34</c:v>
                </c:pt>
                <c:pt idx="1">
                  <c:v>0.29000000000000031</c:v>
                </c:pt>
                <c:pt idx="2">
                  <c:v>0.42000000000000032</c:v>
                </c:pt>
                <c:pt idx="3">
                  <c:v>0.34</c:v>
                </c:pt>
              </c:numCache>
            </c:numRef>
          </c:val>
        </c:ser>
        <c:ser>
          <c:idx val="3"/>
          <c:order val="3"/>
          <c:tx>
            <c:strRef>
              <c:f>Sheet1!$E$178</c:f>
              <c:strCache>
                <c:ptCount val="1"/>
                <c:pt idx="0">
                  <c:v>Very important</c:v>
                </c:pt>
              </c:strCache>
            </c:strRef>
          </c:tx>
          <c:invertIfNegative val="0"/>
          <c:cat>
            <c:strRef>
              <c:f>Sheet1!$A$179:$A$182</c:f>
              <c:strCache>
                <c:ptCount val="4"/>
                <c:pt idx="0">
                  <c:v>Providing a single voice for local government</c:v>
                </c:pt>
                <c:pt idx="1">
                  <c:v>Managing local government's reputation in the national media</c:v>
                </c:pt>
                <c:pt idx="2">
                  <c:v>Providing support and challenge for councils to improve</c:v>
                </c:pt>
                <c:pt idx="3">
                  <c:v>Supporting and promoting councils who are trying to transform services to better support their communities</c:v>
                </c:pt>
              </c:strCache>
            </c:strRef>
          </c:cat>
          <c:val>
            <c:numRef>
              <c:f>Sheet1!$E$179:$E$182</c:f>
              <c:numCache>
                <c:formatCode>0%</c:formatCode>
                <c:ptCount val="4"/>
                <c:pt idx="0">
                  <c:v>0.60000000000000064</c:v>
                </c:pt>
                <c:pt idx="1">
                  <c:v>0.64000000000000101</c:v>
                </c:pt>
                <c:pt idx="2">
                  <c:v>0.49000000000000032</c:v>
                </c:pt>
                <c:pt idx="3">
                  <c:v>0.58000000000000007</c:v>
                </c:pt>
              </c:numCache>
            </c:numRef>
          </c:val>
        </c:ser>
        <c:ser>
          <c:idx val="4"/>
          <c:order val="4"/>
          <c:tx>
            <c:strRef>
              <c:f>Sheet1!$F$178</c:f>
              <c:strCache>
                <c:ptCount val="1"/>
                <c:pt idx="0">
                  <c:v>Don't know</c:v>
                </c:pt>
              </c:strCache>
            </c:strRef>
          </c:tx>
          <c:invertIfNegative val="0"/>
          <c:cat>
            <c:strRef>
              <c:f>Sheet1!$A$179:$A$182</c:f>
              <c:strCache>
                <c:ptCount val="4"/>
                <c:pt idx="0">
                  <c:v>Providing a single voice for local government</c:v>
                </c:pt>
                <c:pt idx="1">
                  <c:v>Managing local government's reputation in the national media</c:v>
                </c:pt>
                <c:pt idx="2">
                  <c:v>Providing support and challenge for councils to improve</c:v>
                </c:pt>
                <c:pt idx="3">
                  <c:v>Supporting and promoting councils who are trying to transform services to better support their communities</c:v>
                </c:pt>
              </c:strCache>
            </c:strRef>
          </c:cat>
          <c:val>
            <c:numRef>
              <c:f>Sheet1!$F$179:$F$182</c:f>
              <c:numCache>
                <c:formatCode>0%</c:formatCode>
                <c:ptCount val="4"/>
                <c:pt idx="0">
                  <c:v>1.0000000000000005E-2</c:v>
                </c:pt>
                <c:pt idx="1">
                  <c:v>1.0000000000000005E-2</c:v>
                </c:pt>
                <c:pt idx="2">
                  <c:v>1.0000000000000005E-2</c:v>
                </c:pt>
                <c:pt idx="3">
                  <c:v>2.0000000000000011E-2</c:v>
                </c:pt>
              </c:numCache>
            </c:numRef>
          </c:val>
        </c:ser>
        <c:dLbls>
          <c:showLegendKey val="0"/>
          <c:showVal val="1"/>
          <c:showCatName val="0"/>
          <c:showSerName val="0"/>
          <c:showPercent val="0"/>
          <c:showBubbleSize val="0"/>
        </c:dLbls>
        <c:gapWidth val="40"/>
        <c:overlap val="100"/>
        <c:axId val="58756096"/>
        <c:axId val="58905344"/>
      </c:barChart>
      <c:catAx>
        <c:axId val="58756096"/>
        <c:scaling>
          <c:orientation val="maxMin"/>
        </c:scaling>
        <c:delete val="0"/>
        <c:axPos val="l"/>
        <c:majorTickMark val="none"/>
        <c:minorTickMark val="none"/>
        <c:tickLblPos val="low"/>
        <c:crossAx val="58905344"/>
        <c:crosses val="autoZero"/>
        <c:auto val="1"/>
        <c:lblAlgn val="ctr"/>
        <c:lblOffset val="100"/>
        <c:noMultiLvlLbl val="0"/>
      </c:catAx>
      <c:valAx>
        <c:axId val="58905344"/>
        <c:scaling>
          <c:orientation val="minMax"/>
        </c:scaling>
        <c:delete val="1"/>
        <c:axPos val="b"/>
        <c:numFmt formatCode="0%" sourceLinked="1"/>
        <c:majorTickMark val="none"/>
        <c:minorTickMark val="none"/>
        <c:tickLblPos val="none"/>
        <c:crossAx val="58756096"/>
        <c:crosses val="max"/>
        <c:crossBetween val="between"/>
      </c:valAx>
    </c:plotArea>
    <c:legend>
      <c:legendPos val="b"/>
      <c:layout/>
      <c:overlay val="0"/>
    </c:legend>
    <c:plotVisOnly val="1"/>
    <c:dispBlanksAs val="gap"/>
    <c:showDLblsOverMax val="0"/>
  </c:chart>
  <c:spPr>
    <a:ln>
      <a:noFill/>
    </a:ln>
  </c:spPr>
  <c:txPr>
    <a:bodyPr/>
    <a:lstStyle/>
    <a:p>
      <a:pPr>
        <a:defRPr sz="1100">
          <a:effectLst>
            <a:glow rad="101600">
              <a:schemeClr val="bg1">
                <a:alpha val="60000"/>
              </a:schemeClr>
            </a:glow>
          </a:effectLst>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4363233665559252E-2"/>
          <c:y val="4.9549549549549522E-2"/>
          <c:w val="0.95127353266888259"/>
          <c:h val="0.36864403773852594"/>
        </c:manualLayout>
      </c:layout>
      <c:barChart>
        <c:barDir val="bar"/>
        <c:grouping val="stacked"/>
        <c:varyColors val="0"/>
        <c:ser>
          <c:idx val="0"/>
          <c:order val="0"/>
          <c:tx>
            <c:strRef>
              <c:f>Sheet1!$A$190</c:f>
              <c:strCache>
                <c:ptCount val="1"/>
                <c:pt idx="0">
                  <c:v>Providing a single voice for local government</c:v>
                </c:pt>
              </c:strCache>
            </c:strRef>
          </c:tx>
          <c:invertIfNegative val="0"/>
          <c:val>
            <c:numRef>
              <c:f>Sheet1!$B$190</c:f>
              <c:numCache>
                <c:formatCode>0%</c:formatCode>
                <c:ptCount val="1"/>
                <c:pt idx="0">
                  <c:v>0.30000000000000032</c:v>
                </c:pt>
              </c:numCache>
            </c:numRef>
          </c:val>
        </c:ser>
        <c:ser>
          <c:idx val="1"/>
          <c:order val="1"/>
          <c:tx>
            <c:strRef>
              <c:f>Sheet1!$A$191</c:f>
              <c:strCache>
                <c:ptCount val="1"/>
                <c:pt idx="0">
                  <c:v>Managing local government's reputation in the national media</c:v>
                </c:pt>
              </c:strCache>
            </c:strRef>
          </c:tx>
          <c:invertIfNegative val="0"/>
          <c:val>
            <c:numRef>
              <c:f>Sheet1!$B$191</c:f>
              <c:numCache>
                <c:formatCode>0%</c:formatCode>
                <c:ptCount val="1"/>
                <c:pt idx="0">
                  <c:v>0.19</c:v>
                </c:pt>
              </c:numCache>
            </c:numRef>
          </c:val>
        </c:ser>
        <c:ser>
          <c:idx val="2"/>
          <c:order val="2"/>
          <c:tx>
            <c:strRef>
              <c:f>Sheet1!$A$192</c:f>
              <c:strCache>
                <c:ptCount val="1"/>
                <c:pt idx="0">
                  <c:v>Providing support and challenge for  councils to improve</c:v>
                </c:pt>
              </c:strCache>
            </c:strRef>
          </c:tx>
          <c:invertIfNegative val="0"/>
          <c:val>
            <c:numRef>
              <c:f>Sheet1!$B$192</c:f>
              <c:numCache>
                <c:formatCode>0%</c:formatCode>
                <c:ptCount val="1"/>
                <c:pt idx="0">
                  <c:v>0.12000000000000002</c:v>
                </c:pt>
              </c:numCache>
            </c:numRef>
          </c:val>
        </c:ser>
        <c:ser>
          <c:idx val="3"/>
          <c:order val="3"/>
          <c:tx>
            <c:strRef>
              <c:f>Sheet1!$A$193</c:f>
              <c:strCache>
                <c:ptCount val="1"/>
                <c:pt idx="0">
                  <c:v>Supporting and promoting councils who are trying to transform services to better support their communities</c:v>
                </c:pt>
              </c:strCache>
            </c:strRef>
          </c:tx>
          <c:invertIfNegative val="0"/>
          <c:val>
            <c:numRef>
              <c:f>Sheet1!$B$193</c:f>
              <c:numCache>
                <c:formatCode>0%</c:formatCode>
                <c:ptCount val="1"/>
                <c:pt idx="0">
                  <c:v>0.26</c:v>
                </c:pt>
              </c:numCache>
            </c:numRef>
          </c:val>
        </c:ser>
        <c:ser>
          <c:idx val="4"/>
          <c:order val="4"/>
          <c:tx>
            <c:strRef>
              <c:f>Sheet1!$A$194</c:f>
              <c:strCache>
                <c:ptCount val="1"/>
                <c:pt idx="0">
                  <c:v>Did not rate anything as very important</c:v>
                </c:pt>
              </c:strCache>
            </c:strRef>
          </c:tx>
          <c:invertIfNegative val="0"/>
          <c:val>
            <c:numRef>
              <c:f>Sheet1!$B$194</c:f>
              <c:numCache>
                <c:formatCode>0%</c:formatCode>
                <c:ptCount val="1"/>
                <c:pt idx="0">
                  <c:v>0.13</c:v>
                </c:pt>
              </c:numCache>
            </c:numRef>
          </c:val>
        </c:ser>
        <c:dLbls>
          <c:showLegendKey val="0"/>
          <c:showVal val="1"/>
          <c:showCatName val="0"/>
          <c:showSerName val="0"/>
          <c:showPercent val="0"/>
          <c:showBubbleSize val="0"/>
        </c:dLbls>
        <c:gapWidth val="40"/>
        <c:overlap val="100"/>
        <c:axId val="59250560"/>
        <c:axId val="59252096"/>
      </c:barChart>
      <c:catAx>
        <c:axId val="59250560"/>
        <c:scaling>
          <c:orientation val="maxMin"/>
        </c:scaling>
        <c:delete val="1"/>
        <c:axPos val="l"/>
        <c:majorTickMark val="none"/>
        <c:minorTickMark val="none"/>
        <c:tickLblPos val="none"/>
        <c:crossAx val="59252096"/>
        <c:crosses val="autoZero"/>
        <c:auto val="1"/>
        <c:lblAlgn val="ctr"/>
        <c:lblOffset val="100"/>
        <c:noMultiLvlLbl val="0"/>
      </c:catAx>
      <c:valAx>
        <c:axId val="59252096"/>
        <c:scaling>
          <c:orientation val="minMax"/>
          <c:max val="1"/>
        </c:scaling>
        <c:delete val="1"/>
        <c:axPos val="b"/>
        <c:numFmt formatCode="0%" sourceLinked="1"/>
        <c:majorTickMark val="none"/>
        <c:minorTickMark val="none"/>
        <c:tickLblPos val="none"/>
        <c:crossAx val="59250560"/>
        <c:crosses val="max"/>
        <c:crossBetween val="between"/>
      </c:valAx>
    </c:plotArea>
    <c:legend>
      <c:legendPos val="b"/>
      <c:layout>
        <c:manualLayout>
          <c:xMode val="edge"/>
          <c:yMode val="edge"/>
          <c:x val="8.6132838046407006E-2"/>
          <c:y val="0.39567106476555336"/>
          <c:w val="0.83216400275546953"/>
          <c:h val="0.60432893523444764"/>
        </c:manualLayout>
      </c:layout>
      <c:overlay val="0"/>
    </c:legend>
    <c:plotVisOnly val="1"/>
    <c:dispBlanksAs val="gap"/>
    <c:showDLblsOverMax val="0"/>
  </c:chart>
  <c:spPr>
    <a:ln>
      <a:noFill/>
    </a:ln>
  </c:spPr>
  <c:txPr>
    <a:bodyPr/>
    <a:lstStyle/>
    <a:p>
      <a:pPr>
        <a:defRPr sz="1100">
          <a:effectLst>
            <a:glow rad="101600">
              <a:schemeClr val="bg1">
                <a:alpha val="60000"/>
              </a:schemeClr>
            </a:glow>
          </a:effectLst>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Sheet1!$B$203</c:f>
              <c:strCache>
                <c:ptCount val="1"/>
                <c:pt idx="0">
                  <c:v>Not at all useful</c:v>
                </c:pt>
              </c:strCache>
            </c:strRef>
          </c:tx>
          <c:invertIfNegative val="0"/>
          <c:cat>
            <c:strRef>
              <c:f>Sheet1!$A$204:$A$212</c:f>
              <c:strCache>
                <c:ptCount val="9"/>
                <c:pt idx="0">
                  <c:v>Lobbying on behalf of local government</c:v>
                </c:pt>
                <c:pt idx="1">
                  <c:v>Providing support for sector led improvement (for example, peer challenges and mentoring, support for leadership, workforce management and productivity)</c:v>
                </c:pt>
                <c:pt idx="2">
                  <c:v>Providing a range of online tools to help sector led improvement (like Knowledge Hub and LG Inform)</c:v>
                </c:pt>
                <c:pt idx="3">
                  <c:v>Providing advice and information through the political group offices</c:v>
                </c:pt>
                <c:pt idx="4">
                  <c:v>Providing legal advice and co-ordination of legal action for councils (for example on property searches and the Icelandic banks)</c:v>
                </c:pt>
                <c:pt idx="5">
                  <c:v>Providing up-to-date information about local government (for example, 'first' magazine, e-bulletins and website)</c:v>
                </c:pt>
                <c:pt idx="6">
                  <c:v>Providing conferences and events</c:v>
                </c:pt>
                <c:pt idx="7">
                  <c:v>Negotiating national pay, terms and conditions</c:v>
                </c:pt>
                <c:pt idx="8">
                  <c:v>Providing employment advice</c:v>
                </c:pt>
              </c:strCache>
            </c:strRef>
          </c:cat>
          <c:val>
            <c:numRef>
              <c:f>Sheet1!$B$204:$B$212</c:f>
              <c:numCache>
                <c:formatCode>0%</c:formatCode>
                <c:ptCount val="9"/>
                <c:pt idx="0">
                  <c:v>2.0000000000000011E-2</c:v>
                </c:pt>
                <c:pt idx="1">
                  <c:v>3.0000000000000002E-2</c:v>
                </c:pt>
                <c:pt idx="2">
                  <c:v>4.0000000000000022E-2</c:v>
                </c:pt>
                <c:pt idx="3">
                  <c:v>3.0000000000000002E-2</c:v>
                </c:pt>
                <c:pt idx="4">
                  <c:v>2.0000000000000011E-2</c:v>
                </c:pt>
                <c:pt idx="5">
                  <c:v>2.0000000000000011E-2</c:v>
                </c:pt>
                <c:pt idx="6">
                  <c:v>0.05</c:v>
                </c:pt>
                <c:pt idx="7">
                  <c:v>0.05</c:v>
                </c:pt>
                <c:pt idx="8">
                  <c:v>0.05</c:v>
                </c:pt>
              </c:numCache>
            </c:numRef>
          </c:val>
        </c:ser>
        <c:ser>
          <c:idx val="1"/>
          <c:order val="1"/>
          <c:tx>
            <c:strRef>
              <c:f>Sheet1!$C$203</c:f>
              <c:strCache>
                <c:ptCount val="1"/>
                <c:pt idx="0">
                  <c:v>Not very useful</c:v>
                </c:pt>
              </c:strCache>
            </c:strRef>
          </c:tx>
          <c:invertIfNegative val="0"/>
          <c:cat>
            <c:strRef>
              <c:f>Sheet1!$A$204:$A$212</c:f>
              <c:strCache>
                <c:ptCount val="9"/>
                <c:pt idx="0">
                  <c:v>Lobbying on behalf of local government</c:v>
                </c:pt>
                <c:pt idx="1">
                  <c:v>Providing support for sector led improvement (for example, peer challenges and mentoring, support for leadership, workforce management and productivity)</c:v>
                </c:pt>
                <c:pt idx="2">
                  <c:v>Providing a range of online tools to help sector led improvement (like Knowledge Hub and LG Inform)</c:v>
                </c:pt>
                <c:pt idx="3">
                  <c:v>Providing advice and information through the political group offices</c:v>
                </c:pt>
                <c:pt idx="4">
                  <c:v>Providing legal advice and co-ordination of legal action for councils (for example on property searches and the Icelandic banks)</c:v>
                </c:pt>
                <c:pt idx="5">
                  <c:v>Providing up-to-date information about local government (for example, 'first' magazine, e-bulletins and website)</c:v>
                </c:pt>
                <c:pt idx="6">
                  <c:v>Providing conferences and events</c:v>
                </c:pt>
                <c:pt idx="7">
                  <c:v>Negotiating national pay, terms and conditions</c:v>
                </c:pt>
                <c:pt idx="8">
                  <c:v>Providing employment advice</c:v>
                </c:pt>
              </c:strCache>
            </c:strRef>
          </c:cat>
          <c:val>
            <c:numRef>
              <c:f>Sheet1!$C$204:$C$212</c:f>
              <c:numCache>
                <c:formatCode>0%</c:formatCode>
                <c:ptCount val="9"/>
                <c:pt idx="0">
                  <c:v>0.05</c:v>
                </c:pt>
                <c:pt idx="1">
                  <c:v>9.0000000000000024E-2</c:v>
                </c:pt>
                <c:pt idx="2">
                  <c:v>0.15000000000000022</c:v>
                </c:pt>
                <c:pt idx="3">
                  <c:v>0.11</c:v>
                </c:pt>
                <c:pt idx="4">
                  <c:v>0.11</c:v>
                </c:pt>
                <c:pt idx="5">
                  <c:v>8.0000000000000043E-2</c:v>
                </c:pt>
                <c:pt idx="6">
                  <c:v>0.14000000000000001</c:v>
                </c:pt>
                <c:pt idx="7">
                  <c:v>0.11</c:v>
                </c:pt>
                <c:pt idx="8">
                  <c:v>0.22</c:v>
                </c:pt>
              </c:numCache>
            </c:numRef>
          </c:val>
        </c:ser>
        <c:ser>
          <c:idx val="2"/>
          <c:order val="2"/>
          <c:tx>
            <c:strRef>
              <c:f>Sheet1!$D$203</c:f>
              <c:strCache>
                <c:ptCount val="1"/>
                <c:pt idx="0">
                  <c:v>Fairly useful</c:v>
                </c:pt>
              </c:strCache>
            </c:strRef>
          </c:tx>
          <c:invertIfNegative val="0"/>
          <c:cat>
            <c:strRef>
              <c:f>Sheet1!$A$204:$A$212</c:f>
              <c:strCache>
                <c:ptCount val="9"/>
                <c:pt idx="0">
                  <c:v>Lobbying on behalf of local government</c:v>
                </c:pt>
                <c:pt idx="1">
                  <c:v>Providing support for sector led improvement (for example, peer challenges and mentoring, support for leadership, workforce management and productivity)</c:v>
                </c:pt>
                <c:pt idx="2">
                  <c:v>Providing a range of online tools to help sector led improvement (like Knowledge Hub and LG Inform)</c:v>
                </c:pt>
                <c:pt idx="3">
                  <c:v>Providing advice and information through the political group offices</c:v>
                </c:pt>
                <c:pt idx="4">
                  <c:v>Providing legal advice and co-ordination of legal action for councils (for example on property searches and the Icelandic banks)</c:v>
                </c:pt>
                <c:pt idx="5">
                  <c:v>Providing up-to-date information about local government (for example, 'first' magazine, e-bulletins and website)</c:v>
                </c:pt>
                <c:pt idx="6">
                  <c:v>Providing conferences and events</c:v>
                </c:pt>
                <c:pt idx="7">
                  <c:v>Negotiating national pay, terms and conditions</c:v>
                </c:pt>
                <c:pt idx="8">
                  <c:v>Providing employment advice</c:v>
                </c:pt>
              </c:strCache>
            </c:strRef>
          </c:cat>
          <c:val>
            <c:numRef>
              <c:f>Sheet1!$D$204:$D$212</c:f>
              <c:numCache>
                <c:formatCode>0%</c:formatCode>
                <c:ptCount val="9"/>
                <c:pt idx="0">
                  <c:v>0.31000000000000044</c:v>
                </c:pt>
                <c:pt idx="1">
                  <c:v>0.49000000000000032</c:v>
                </c:pt>
                <c:pt idx="2">
                  <c:v>0.53</c:v>
                </c:pt>
                <c:pt idx="3">
                  <c:v>0.45</c:v>
                </c:pt>
                <c:pt idx="4">
                  <c:v>0.3800000000000005</c:v>
                </c:pt>
                <c:pt idx="5">
                  <c:v>0.44</c:v>
                </c:pt>
                <c:pt idx="6">
                  <c:v>0.53</c:v>
                </c:pt>
                <c:pt idx="7">
                  <c:v>0.39000000000000051</c:v>
                </c:pt>
                <c:pt idx="8">
                  <c:v>0.43000000000000038</c:v>
                </c:pt>
              </c:numCache>
            </c:numRef>
          </c:val>
        </c:ser>
        <c:ser>
          <c:idx val="3"/>
          <c:order val="3"/>
          <c:tx>
            <c:strRef>
              <c:f>Sheet1!$E$203</c:f>
              <c:strCache>
                <c:ptCount val="1"/>
                <c:pt idx="0">
                  <c:v>Very useful</c:v>
                </c:pt>
              </c:strCache>
            </c:strRef>
          </c:tx>
          <c:invertIfNegative val="0"/>
          <c:cat>
            <c:strRef>
              <c:f>Sheet1!$A$204:$A$212</c:f>
              <c:strCache>
                <c:ptCount val="9"/>
                <c:pt idx="0">
                  <c:v>Lobbying on behalf of local government</c:v>
                </c:pt>
                <c:pt idx="1">
                  <c:v>Providing support for sector led improvement (for example, peer challenges and mentoring, support for leadership, workforce management and productivity)</c:v>
                </c:pt>
                <c:pt idx="2">
                  <c:v>Providing a range of online tools to help sector led improvement (like Knowledge Hub and LG Inform)</c:v>
                </c:pt>
                <c:pt idx="3">
                  <c:v>Providing advice and information through the political group offices</c:v>
                </c:pt>
                <c:pt idx="4">
                  <c:v>Providing legal advice and co-ordination of legal action for councils (for example on property searches and the Icelandic banks)</c:v>
                </c:pt>
                <c:pt idx="5">
                  <c:v>Providing up-to-date information about local government (for example, 'first' magazine, e-bulletins and website)</c:v>
                </c:pt>
                <c:pt idx="6">
                  <c:v>Providing conferences and events</c:v>
                </c:pt>
                <c:pt idx="7">
                  <c:v>Negotiating national pay, terms and conditions</c:v>
                </c:pt>
                <c:pt idx="8">
                  <c:v>Providing employment advice</c:v>
                </c:pt>
              </c:strCache>
            </c:strRef>
          </c:cat>
          <c:val>
            <c:numRef>
              <c:f>Sheet1!$E$204:$E$212</c:f>
              <c:numCache>
                <c:formatCode>0%</c:formatCode>
                <c:ptCount val="9"/>
                <c:pt idx="0">
                  <c:v>0.61000000000000065</c:v>
                </c:pt>
                <c:pt idx="1">
                  <c:v>0.37000000000000038</c:v>
                </c:pt>
                <c:pt idx="2">
                  <c:v>0.22</c:v>
                </c:pt>
                <c:pt idx="3">
                  <c:v>0.33000000000000057</c:v>
                </c:pt>
                <c:pt idx="4">
                  <c:v>0.4</c:v>
                </c:pt>
                <c:pt idx="5">
                  <c:v>0.45</c:v>
                </c:pt>
                <c:pt idx="6">
                  <c:v>0.26</c:v>
                </c:pt>
                <c:pt idx="7">
                  <c:v>0.39000000000000051</c:v>
                </c:pt>
                <c:pt idx="8">
                  <c:v>0.21000000000000021</c:v>
                </c:pt>
              </c:numCache>
            </c:numRef>
          </c:val>
        </c:ser>
        <c:ser>
          <c:idx val="4"/>
          <c:order val="4"/>
          <c:tx>
            <c:strRef>
              <c:f>Sheet1!$F$203</c:f>
              <c:strCache>
                <c:ptCount val="1"/>
                <c:pt idx="0">
                  <c:v>Don't know</c:v>
                </c:pt>
              </c:strCache>
            </c:strRef>
          </c:tx>
          <c:invertIfNegative val="0"/>
          <c:cat>
            <c:strRef>
              <c:f>Sheet1!$A$204:$A$212</c:f>
              <c:strCache>
                <c:ptCount val="9"/>
                <c:pt idx="0">
                  <c:v>Lobbying on behalf of local government</c:v>
                </c:pt>
                <c:pt idx="1">
                  <c:v>Providing support for sector led improvement (for example, peer challenges and mentoring, support for leadership, workforce management and productivity)</c:v>
                </c:pt>
                <c:pt idx="2">
                  <c:v>Providing a range of online tools to help sector led improvement (like Knowledge Hub and LG Inform)</c:v>
                </c:pt>
                <c:pt idx="3">
                  <c:v>Providing advice and information through the political group offices</c:v>
                </c:pt>
                <c:pt idx="4">
                  <c:v>Providing legal advice and co-ordination of legal action for councils (for example on property searches and the Icelandic banks)</c:v>
                </c:pt>
                <c:pt idx="5">
                  <c:v>Providing up-to-date information about local government (for example, 'first' magazine, e-bulletins and website)</c:v>
                </c:pt>
                <c:pt idx="6">
                  <c:v>Providing conferences and events</c:v>
                </c:pt>
                <c:pt idx="7">
                  <c:v>Negotiating national pay, terms and conditions</c:v>
                </c:pt>
                <c:pt idx="8">
                  <c:v>Providing employment advice</c:v>
                </c:pt>
              </c:strCache>
            </c:strRef>
          </c:cat>
          <c:val>
            <c:numRef>
              <c:f>Sheet1!$F$204:$F$212</c:f>
              <c:numCache>
                <c:formatCode>0%</c:formatCode>
                <c:ptCount val="9"/>
                <c:pt idx="0">
                  <c:v>2.0000000000000011E-2</c:v>
                </c:pt>
                <c:pt idx="1">
                  <c:v>2.0000000000000011E-2</c:v>
                </c:pt>
                <c:pt idx="2">
                  <c:v>7.0000000000000021E-2</c:v>
                </c:pt>
                <c:pt idx="3">
                  <c:v>8.0000000000000043E-2</c:v>
                </c:pt>
                <c:pt idx="4">
                  <c:v>8.0000000000000043E-2</c:v>
                </c:pt>
                <c:pt idx="5">
                  <c:v>1.0000000000000005E-2</c:v>
                </c:pt>
                <c:pt idx="6">
                  <c:v>2.0000000000000011E-2</c:v>
                </c:pt>
                <c:pt idx="7">
                  <c:v>0.05</c:v>
                </c:pt>
                <c:pt idx="8">
                  <c:v>0.1</c:v>
                </c:pt>
              </c:numCache>
            </c:numRef>
          </c:val>
        </c:ser>
        <c:dLbls>
          <c:showLegendKey val="0"/>
          <c:showVal val="1"/>
          <c:showCatName val="0"/>
          <c:showSerName val="0"/>
          <c:showPercent val="0"/>
          <c:showBubbleSize val="0"/>
        </c:dLbls>
        <c:gapWidth val="40"/>
        <c:overlap val="100"/>
        <c:axId val="59306368"/>
        <c:axId val="59307904"/>
      </c:barChart>
      <c:catAx>
        <c:axId val="59306368"/>
        <c:scaling>
          <c:orientation val="maxMin"/>
        </c:scaling>
        <c:delete val="0"/>
        <c:axPos val="l"/>
        <c:majorTickMark val="none"/>
        <c:minorTickMark val="none"/>
        <c:tickLblPos val="low"/>
        <c:txPr>
          <a:bodyPr/>
          <a:lstStyle/>
          <a:p>
            <a:pPr>
              <a:defRPr sz="1050"/>
            </a:pPr>
            <a:endParaRPr lang="en-US"/>
          </a:p>
        </c:txPr>
        <c:crossAx val="59307904"/>
        <c:crosses val="autoZero"/>
        <c:auto val="1"/>
        <c:lblAlgn val="ctr"/>
        <c:lblOffset val="100"/>
        <c:noMultiLvlLbl val="0"/>
      </c:catAx>
      <c:valAx>
        <c:axId val="59307904"/>
        <c:scaling>
          <c:orientation val="minMax"/>
        </c:scaling>
        <c:delete val="1"/>
        <c:axPos val="b"/>
        <c:numFmt formatCode="0%" sourceLinked="1"/>
        <c:majorTickMark val="none"/>
        <c:minorTickMark val="none"/>
        <c:tickLblPos val="none"/>
        <c:crossAx val="59306368"/>
        <c:crosses val="max"/>
        <c:crossBetween val="between"/>
      </c:valAx>
    </c:plotArea>
    <c:legend>
      <c:legendPos val="b"/>
      <c:layout/>
      <c:overlay val="0"/>
    </c:legend>
    <c:plotVisOnly val="1"/>
    <c:dispBlanksAs val="gap"/>
    <c:showDLblsOverMax val="0"/>
  </c:chart>
  <c:spPr>
    <a:ln>
      <a:noFill/>
    </a:ln>
  </c:spPr>
  <c:txPr>
    <a:bodyPr/>
    <a:lstStyle/>
    <a:p>
      <a:pPr>
        <a:defRPr sz="1100">
          <a:effectLst>
            <a:glow rad="101600">
              <a:schemeClr val="bg1">
                <a:alpha val="60000"/>
              </a:schemeClr>
            </a:glow>
          </a:effectLst>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4CF23-4942-4EB7-9C09-58B4AFDD6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34</Pages>
  <Words>5192</Words>
  <Characters>29599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34722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 Marshall</dc:creator>
  <cp:lastModifiedBy>Frances Marshall</cp:lastModifiedBy>
  <cp:revision>22</cp:revision>
  <dcterms:created xsi:type="dcterms:W3CDTF">2014-02-13T09:30:00Z</dcterms:created>
  <dcterms:modified xsi:type="dcterms:W3CDTF">2014-02-13T11:47:00Z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Agenda item</vt:lpwstr>
  </op:property>
  <op:property fmtid="{D5CDD505-2E9C-101B-9397-08002B2CF9AE}" pid="3" name="DC.identifier">
    <vt:lpwstr>LGA</vt:lpwstr>
  </op:property>
  <op:property fmtid="{D5CDD505-2E9C-101B-9397-08002B2CF9AE}" pid="4" name="DC.Author">
    <vt:lpwstr>DH</vt:lpwstr>
  </op:property>
  <op:property fmtid="{D5CDD505-2E9C-101B-9397-08002B2CF9AE}" pid="5" name="DC.creator">
    <vt:lpwstr>GSS1\frances.marshall</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
  </op:property>
  <op:property fmtid="{D5CDD505-2E9C-101B-9397-08002B2CF9AE}" pid="9" name="DC.date.issued">
    <vt:lpwstr>2014-02-13T00:00:00Z</vt:lpwstr>
  </op:property>
  <op:property fmtid="{D5CDD505-2E9C-101B-9397-08002B2CF9AE}" pid="10" name="e-GMS.subject.keyword">
    <vt:lpwstr>LGA Executive,</vt:lpwstr>
  </op:property>
  <op:property fmtid="{D5CDD505-2E9C-101B-9397-08002B2CF9AE}" pid="11" name="Date">
    <vt:lpwstr>2014-02-13T00:00:00Z</vt:lpwstr>
  </op:property>
  <op:property fmtid="{D5CDD505-2E9C-101B-9397-08002B2CF9AE}" pid="12" name="Title">
    <vt:lpwstr>Item 3 - LGA Perceptions Survey</vt:lpwstr>
  </op:property>
  <op:property fmtid="{D5CDD505-2E9C-101B-9397-08002B2CF9AE}" pid="13" name="Keywords">
    <vt:lpwstr>Council meetings;Government, politics and public administration; Local government; Decision making; Council meetings;</vt:lpwstr>
  </op:property>
  <op:property fmtid="{D5CDD505-2E9C-101B-9397-08002B2CF9AE}" pid="14" name="Author">
    <vt:lpwstr>Your council</vt:lpwstr>
  </op:property>
</op:Properties>
</file>